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9628"/>
      </w:tblGrid>
      <w:tr w:rsidR="008D616D" w:rsidRPr="00E755E4" w14:paraId="13B9CF4F" w14:textId="77777777" w:rsidTr="00180D0E">
        <w:trPr>
          <w:trHeight w:val="680"/>
        </w:trPr>
        <w:tc>
          <w:tcPr>
            <w:tcW w:w="96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86CDF28" w14:textId="0124E68B" w:rsidR="008D616D" w:rsidRPr="00E755E4" w:rsidRDefault="00A76847" w:rsidP="00944050">
            <w:pPr>
              <w:jc w:val="center"/>
              <w:rPr>
                <w:b/>
                <w:bCs/>
              </w:rPr>
            </w:pPr>
            <w:r>
              <w:rPr>
                <w:b/>
              </w:rPr>
              <w:t>Balanced Scorecard – (BSC)</w:t>
            </w:r>
          </w:p>
        </w:tc>
      </w:tr>
      <w:tr w:rsidR="008D616D" w14:paraId="1C7F4BD0" w14:textId="77777777" w:rsidTr="00D666E7">
        <w:trPr>
          <w:trHeight w:val="714"/>
        </w:trPr>
        <w:tc>
          <w:tcPr>
            <w:tcW w:w="9628" w:type="dxa"/>
            <w:tcBorders>
              <w:top w:val="single" w:sz="4" w:space="0" w:color="auto"/>
              <w:left w:val="single" w:sz="4" w:space="0" w:color="auto"/>
              <w:bottom w:val="single" w:sz="4" w:space="0" w:color="auto"/>
              <w:right w:val="single" w:sz="4" w:space="0" w:color="auto"/>
            </w:tcBorders>
          </w:tcPr>
          <w:p w14:paraId="5A52D201" w14:textId="77777777" w:rsidR="008D616D" w:rsidRDefault="008D616D" w:rsidP="00D666E7">
            <w:r>
              <w:rPr>
                <w:b/>
                <w:bCs/>
              </w:rPr>
              <w:t>Formål:</w:t>
            </w:r>
            <w:r>
              <w:t xml:space="preserve"> </w:t>
            </w:r>
          </w:p>
          <w:p w14:paraId="3686A8D6" w14:textId="77777777" w:rsidR="00227956" w:rsidRDefault="00327FD0" w:rsidP="00327FD0">
            <w:r>
              <w:t>Balanced Scorecard (BSC) er et implementeringsværktøj, som er udviklet i erkendelse af, at selve strategien og de mange analyser ikke gør nogen forskel, hvis der ikke sker en aktiv indsats for at omsætte de mange fine ord og forretningsplaner til mere håndgribelige handlinger.</w:t>
            </w:r>
          </w:p>
          <w:p w14:paraId="364F5511" w14:textId="73B9B5F7" w:rsidR="00327FD0" w:rsidRDefault="00327FD0" w:rsidP="00327FD0"/>
        </w:tc>
      </w:tr>
      <w:tr w:rsidR="008D616D" w14:paraId="19A05DB9" w14:textId="77777777" w:rsidTr="00B4493F">
        <w:trPr>
          <w:trHeight w:val="470"/>
        </w:trPr>
        <w:tc>
          <w:tcPr>
            <w:tcW w:w="9628" w:type="dxa"/>
            <w:tcBorders>
              <w:top w:val="single" w:sz="4" w:space="0" w:color="auto"/>
              <w:left w:val="single" w:sz="4" w:space="0" w:color="auto"/>
              <w:bottom w:val="single" w:sz="4" w:space="0" w:color="auto"/>
              <w:right w:val="single" w:sz="4" w:space="0" w:color="auto"/>
            </w:tcBorders>
          </w:tcPr>
          <w:p w14:paraId="5A8C2DD9" w14:textId="77777777" w:rsidR="008D616D" w:rsidRPr="005D501F" w:rsidRDefault="008D616D" w:rsidP="00D666E7">
            <w:pPr>
              <w:rPr>
                <w:b/>
                <w:color w:val="000000" w:themeColor="text1"/>
              </w:rPr>
            </w:pPr>
            <w:r w:rsidRPr="005D501F">
              <w:rPr>
                <w:b/>
                <w:color w:val="000000" w:themeColor="text1"/>
              </w:rPr>
              <w:t>Indhold:</w:t>
            </w:r>
          </w:p>
          <w:p w14:paraId="68E46DD8" w14:textId="77777777" w:rsidR="00A76847" w:rsidRDefault="00A76847" w:rsidP="00A76847">
            <w:r>
              <w:t>Balanced Scorecard er et styrings- og ledelsesværktøj, der bygger bro mellem virksomhedens strategi og den daglige drift ved at udpege en række nøgletal (KPI’er = Key Performance Indicators), som virksomhedsledelsen kan styre efter.</w:t>
            </w:r>
          </w:p>
          <w:p w14:paraId="244FA2EC" w14:textId="6CA09E43" w:rsidR="00A76847" w:rsidRDefault="00A76847" w:rsidP="00A76847">
            <w:r>
              <w:t xml:space="preserve"> </w:t>
            </w:r>
          </w:p>
          <w:p w14:paraId="1DACE87D" w14:textId="0788192F" w:rsidR="00A76847" w:rsidRDefault="00A76847" w:rsidP="00A76847">
            <w:r>
              <w:t xml:space="preserve">Nøgletallene udpeges i relation til følgende fire perspektiver: </w:t>
            </w:r>
          </w:p>
          <w:p w14:paraId="301404CE" w14:textId="77777777" w:rsidR="00A76847" w:rsidRDefault="00A76847" w:rsidP="00A76847">
            <w:pPr>
              <w:pStyle w:val="Listeafsnit"/>
              <w:numPr>
                <w:ilvl w:val="0"/>
                <w:numId w:val="17"/>
              </w:numPr>
            </w:pPr>
            <w:r>
              <w:t>Det finansielle perspektiv</w:t>
            </w:r>
          </w:p>
          <w:p w14:paraId="0769DEC7" w14:textId="77777777" w:rsidR="00A76847" w:rsidRDefault="00A76847" w:rsidP="00A76847">
            <w:pPr>
              <w:pStyle w:val="Listeafsnit"/>
              <w:numPr>
                <w:ilvl w:val="0"/>
                <w:numId w:val="17"/>
              </w:numPr>
            </w:pPr>
            <w:r>
              <w:t>Kundeperspektivet</w:t>
            </w:r>
          </w:p>
          <w:p w14:paraId="5893D7DA" w14:textId="77777777" w:rsidR="00A76847" w:rsidRDefault="00A76847" w:rsidP="00A76847">
            <w:pPr>
              <w:pStyle w:val="Listeafsnit"/>
              <w:numPr>
                <w:ilvl w:val="0"/>
                <w:numId w:val="17"/>
              </w:numPr>
            </w:pPr>
            <w:r>
              <w:t>Procesperspektivet</w:t>
            </w:r>
          </w:p>
          <w:p w14:paraId="18AC28E9" w14:textId="77777777" w:rsidR="00382C8C" w:rsidRDefault="00A76847" w:rsidP="00A76847">
            <w:pPr>
              <w:pStyle w:val="Listeafsnit"/>
              <w:numPr>
                <w:ilvl w:val="0"/>
                <w:numId w:val="17"/>
              </w:numPr>
            </w:pPr>
            <w:r>
              <w:t>Lærings- og vækstperspektivet</w:t>
            </w:r>
          </w:p>
          <w:p w14:paraId="0485BC95" w14:textId="051884D2" w:rsidR="00A76847" w:rsidRPr="004F740B" w:rsidRDefault="00A76847" w:rsidP="00A76847"/>
        </w:tc>
      </w:tr>
      <w:tr w:rsidR="006C35F6" w14:paraId="504D1397" w14:textId="77777777" w:rsidTr="00B4493F">
        <w:trPr>
          <w:trHeight w:val="470"/>
        </w:trPr>
        <w:tc>
          <w:tcPr>
            <w:tcW w:w="9628" w:type="dxa"/>
            <w:tcBorders>
              <w:top w:val="single" w:sz="4" w:space="0" w:color="auto"/>
              <w:left w:val="single" w:sz="4" w:space="0" w:color="auto"/>
              <w:bottom w:val="single" w:sz="4" w:space="0" w:color="auto"/>
              <w:right w:val="single" w:sz="4" w:space="0" w:color="auto"/>
            </w:tcBorders>
          </w:tcPr>
          <w:p w14:paraId="72F67076" w14:textId="77777777" w:rsidR="006C35F6" w:rsidRDefault="006C35F6" w:rsidP="006C35F6">
            <w:pPr>
              <w:rPr>
                <w:b/>
                <w:color w:val="000000" w:themeColor="text1"/>
              </w:rPr>
            </w:pPr>
            <w:r>
              <w:rPr>
                <w:b/>
                <w:color w:val="000000" w:themeColor="text1"/>
              </w:rPr>
              <w:t>Data:</w:t>
            </w:r>
          </w:p>
          <w:p w14:paraId="73455D45" w14:textId="68AE62D7" w:rsidR="006C35F6" w:rsidRDefault="006C35F6" w:rsidP="006C35F6">
            <w:pPr>
              <w:rPr>
                <w:bCs/>
                <w:color w:val="000000" w:themeColor="text1"/>
              </w:rPr>
            </w:pPr>
            <w:r>
              <w:rPr>
                <w:bCs/>
                <w:color w:val="000000" w:themeColor="text1"/>
              </w:rPr>
              <w:t>Kilder til indsamling af oplysninger kan komme fra følgende steder:</w:t>
            </w:r>
          </w:p>
          <w:p w14:paraId="00536E95" w14:textId="77777777" w:rsidR="006C35F6" w:rsidRDefault="006C35F6" w:rsidP="006C35F6">
            <w:pPr>
              <w:pStyle w:val="Listeafsnit"/>
              <w:numPr>
                <w:ilvl w:val="0"/>
                <w:numId w:val="1"/>
              </w:numPr>
              <w:rPr>
                <w:color w:val="000000" w:themeColor="text1"/>
              </w:rPr>
            </w:pPr>
            <w:r w:rsidRPr="00680B8E">
              <w:rPr>
                <w:color w:val="000000" w:themeColor="text1"/>
              </w:rPr>
              <w:t>Primær</w:t>
            </w:r>
            <w:r>
              <w:rPr>
                <w:color w:val="000000" w:themeColor="text1"/>
              </w:rPr>
              <w:t>e</w:t>
            </w:r>
            <w:r w:rsidRPr="00680B8E">
              <w:rPr>
                <w:color w:val="000000" w:themeColor="text1"/>
              </w:rPr>
              <w:t xml:space="preserve"> dataanalyse </w:t>
            </w:r>
          </w:p>
          <w:p w14:paraId="1BC5EBD9" w14:textId="77777777" w:rsidR="006C35F6" w:rsidRDefault="006C35F6" w:rsidP="006C35F6">
            <w:pPr>
              <w:pStyle w:val="Listeafsnit"/>
              <w:numPr>
                <w:ilvl w:val="0"/>
                <w:numId w:val="2"/>
              </w:numPr>
              <w:ind w:left="711"/>
              <w:rPr>
                <w:color w:val="000000" w:themeColor="text1"/>
              </w:rPr>
            </w:pPr>
            <w:r>
              <w:rPr>
                <w:color w:val="000000" w:themeColor="text1"/>
              </w:rPr>
              <w:t>F</w:t>
            </w:r>
            <w:r w:rsidRPr="00680B8E">
              <w:rPr>
                <w:color w:val="000000" w:themeColor="text1"/>
              </w:rPr>
              <w:t>x egne undersøgelser</w:t>
            </w:r>
            <w:r>
              <w:rPr>
                <w:color w:val="000000" w:themeColor="text1"/>
              </w:rPr>
              <w:t xml:space="preserve"> og vurderinger</w:t>
            </w:r>
          </w:p>
          <w:p w14:paraId="76F920DE" w14:textId="77777777" w:rsidR="006C35F6" w:rsidRDefault="006C35F6" w:rsidP="006C35F6">
            <w:pPr>
              <w:pStyle w:val="Listeafsnit"/>
              <w:numPr>
                <w:ilvl w:val="0"/>
                <w:numId w:val="1"/>
              </w:numPr>
              <w:rPr>
                <w:color w:val="000000" w:themeColor="text1"/>
              </w:rPr>
            </w:pPr>
            <w:r w:rsidRPr="00680B8E">
              <w:rPr>
                <w:color w:val="000000" w:themeColor="text1"/>
              </w:rPr>
              <w:t xml:space="preserve">Sekundære data </w:t>
            </w:r>
          </w:p>
          <w:p w14:paraId="4E6EEEBE" w14:textId="77777777" w:rsidR="006C35F6" w:rsidRPr="00680B8E" w:rsidRDefault="006C35F6" w:rsidP="006C35F6">
            <w:pPr>
              <w:pStyle w:val="Listeafsnit"/>
              <w:numPr>
                <w:ilvl w:val="0"/>
                <w:numId w:val="3"/>
              </w:numPr>
              <w:ind w:left="700"/>
              <w:rPr>
                <w:color w:val="000000" w:themeColor="text1"/>
              </w:rPr>
            </w:pPr>
            <w:r>
              <w:rPr>
                <w:color w:val="000000" w:themeColor="text1"/>
              </w:rPr>
              <w:t>F</w:t>
            </w:r>
            <w:r w:rsidRPr="00680B8E">
              <w:rPr>
                <w:color w:val="000000" w:themeColor="text1"/>
              </w:rPr>
              <w:t xml:space="preserve">x </w:t>
            </w:r>
            <w:r>
              <w:rPr>
                <w:color w:val="000000" w:themeColor="text1"/>
              </w:rPr>
              <w:t>s</w:t>
            </w:r>
            <w:r w:rsidRPr="00680B8E">
              <w:rPr>
                <w:color w:val="000000" w:themeColor="text1"/>
              </w:rPr>
              <w:t>tatistiske oplysninger</w:t>
            </w:r>
            <w:r>
              <w:rPr>
                <w:color w:val="000000" w:themeColor="text1"/>
              </w:rPr>
              <w:t xml:space="preserve"> m.m.</w:t>
            </w:r>
          </w:p>
          <w:p w14:paraId="4279A8CA" w14:textId="77777777" w:rsidR="006C35F6" w:rsidRPr="005D501F" w:rsidRDefault="006C35F6" w:rsidP="00D666E7">
            <w:pPr>
              <w:rPr>
                <w:b/>
                <w:color w:val="000000" w:themeColor="text1"/>
              </w:rPr>
            </w:pPr>
          </w:p>
        </w:tc>
      </w:tr>
    </w:tbl>
    <w:p w14:paraId="307677DF" w14:textId="2C7D1472" w:rsidR="00881D7C" w:rsidRDefault="00881D7C" w:rsidP="00881D7C">
      <w:pPr>
        <w:spacing w:after="0"/>
        <w:rPr>
          <w:b/>
          <w:color w:val="000000" w:themeColor="text1"/>
        </w:rPr>
      </w:pPr>
    </w:p>
    <w:p w14:paraId="14D7C643" w14:textId="78CE5F82" w:rsidR="00C10D64" w:rsidRDefault="00C10D64">
      <w:r>
        <w:br w:type="page"/>
      </w:r>
    </w:p>
    <w:p w14:paraId="203304BA" w14:textId="77777777" w:rsidR="005402EF" w:rsidRDefault="005402EF" w:rsidP="00881D7C">
      <w:pPr>
        <w:spacing w:after="0"/>
      </w:pPr>
    </w:p>
    <w:tbl>
      <w:tblPr>
        <w:tblStyle w:val="Tabel-Gitter"/>
        <w:tblW w:w="0" w:type="auto"/>
        <w:tblLook w:val="04A0" w:firstRow="1" w:lastRow="0" w:firstColumn="1" w:lastColumn="0" w:noHBand="0" w:noVBand="1"/>
      </w:tblPr>
      <w:tblGrid>
        <w:gridCol w:w="1911"/>
        <w:gridCol w:w="7717"/>
      </w:tblGrid>
      <w:tr w:rsidR="00D11540" w14:paraId="695F98E2" w14:textId="77777777" w:rsidTr="002408C3">
        <w:trPr>
          <w:trHeight w:val="680"/>
        </w:trPr>
        <w:tc>
          <w:tcPr>
            <w:tcW w:w="9628" w:type="dxa"/>
            <w:gridSpan w:val="2"/>
            <w:shd w:val="clear" w:color="auto" w:fill="D9D9D9" w:themeFill="background1" w:themeFillShade="D9"/>
            <w:vAlign w:val="center"/>
          </w:tcPr>
          <w:p w14:paraId="255FDAF4" w14:textId="41E3B80E" w:rsidR="00825F66" w:rsidRPr="00462136" w:rsidRDefault="00327FD0" w:rsidP="00C34353">
            <w:pPr>
              <w:jc w:val="center"/>
              <w:rPr>
                <w:b/>
                <w:color w:val="000000" w:themeColor="text1"/>
              </w:rPr>
            </w:pPr>
            <w:r>
              <w:rPr>
                <w:b/>
              </w:rPr>
              <w:t>Balanced Scorecard – (BSC)</w:t>
            </w:r>
          </w:p>
        </w:tc>
      </w:tr>
      <w:tr w:rsidR="001566B0" w14:paraId="44B42F39" w14:textId="77777777" w:rsidTr="001566B0">
        <w:trPr>
          <w:trHeight w:val="682"/>
        </w:trPr>
        <w:tc>
          <w:tcPr>
            <w:tcW w:w="1911" w:type="dxa"/>
            <w:shd w:val="clear" w:color="auto" w:fill="E7E6E6" w:themeFill="background2"/>
            <w:vAlign w:val="center"/>
          </w:tcPr>
          <w:p w14:paraId="2839EB1B" w14:textId="77777777" w:rsidR="001566B0" w:rsidRDefault="001566B0" w:rsidP="00E51951">
            <w:pPr>
              <w:rPr>
                <w:b/>
                <w:color w:val="000000" w:themeColor="text1"/>
              </w:rPr>
            </w:pPr>
          </w:p>
        </w:tc>
        <w:tc>
          <w:tcPr>
            <w:tcW w:w="7717" w:type="dxa"/>
            <w:shd w:val="clear" w:color="auto" w:fill="E7E6E6" w:themeFill="background2"/>
          </w:tcPr>
          <w:p w14:paraId="1EBC9BDD" w14:textId="77777777" w:rsidR="001566B0" w:rsidRPr="00680B8E" w:rsidRDefault="001566B0" w:rsidP="00E51951">
            <w:pPr>
              <w:rPr>
                <w:color w:val="000000" w:themeColor="text1"/>
              </w:rPr>
            </w:pPr>
            <w:r>
              <w:rPr>
                <w:b/>
                <w:bCs/>
                <w:color w:val="000000" w:themeColor="text1"/>
              </w:rPr>
              <w:t>Samlet v</w:t>
            </w:r>
            <w:r w:rsidRPr="00C910B3">
              <w:rPr>
                <w:b/>
                <w:bCs/>
                <w:color w:val="000000" w:themeColor="text1"/>
              </w:rPr>
              <w:t>urdering</w:t>
            </w:r>
          </w:p>
        </w:tc>
      </w:tr>
      <w:tr w:rsidR="00876432" w14:paraId="7EA8BB40" w14:textId="77777777" w:rsidTr="00AD5F70">
        <w:trPr>
          <w:trHeight w:val="1354"/>
        </w:trPr>
        <w:tc>
          <w:tcPr>
            <w:tcW w:w="1911" w:type="dxa"/>
            <w:shd w:val="clear" w:color="auto" w:fill="F2F2F2" w:themeFill="background1" w:themeFillShade="F2"/>
          </w:tcPr>
          <w:p w14:paraId="26F8A8A0" w14:textId="77777777" w:rsidR="00876432" w:rsidRPr="00327FD0" w:rsidRDefault="00876432" w:rsidP="00327FD0">
            <w:pPr>
              <w:rPr>
                <w:b/>
              </w:rPr>
            </w:pPr>
            <w:r w:rsidRPr="00327FD0">
              <w:rPr>
                <w:b/>
                <w:bCs/>
              </w:rPr>
              <w:t>Det finansielle perspektiv</w:t>
            </w:r>
          </w:p>
          <w:p w14:paraId="7D9A2581" w14:textId="344DC7D9" w:rsidR="00876432" w:rsidRDefault="00876432" w:rsidP="000D3E43">
            <w:pPr>
              <w:rPr>
                <w:b/>
                <w:color w:val="000000" w:themeColor="text1"/>
              </w:rPr>
            </w:pPr>
          </w:p>
        </w:tc>
        <w:tc>
          <w:tcPr>
            <w:tcW w:w="7717" w:type="dxa"/>
          </w:tcPr>
          <w:p w14:paraId="4717FF44" w14:textId="22532E17" w:rsidR="00876432" w:rsidRPr="002E4675" w:rsidRDefault="002E4675" w:rsidP="002E4675">
            <w:pPr>
              <w:rPr>
                <w:color w:val="000000" w:themeColor="text1"/>
                <w:sz w:val="18"/>
                <w:szCs w:val="18"/>
              </w:rPr>
            </w:pPr>
            <w:r>
              <w:rPr>
                <w:sz w:val="18"/>
                <w:szCs w:val="18"/>
              </w:rPr>
              <w:t>(</w:t>
            </w:r>
            <w:r w:rsidR="00876432" w:rsidRPr="002E4675">
              <w:rPr>
                <w:sz w:val="18"/>
                <w:szCs w:val="18"/>
              </w:rPr>
              <w:t>Finansielle KPI’er</w:t>
            </w:r>
            <w:r w:rsidRPr="002E4675">
              <w:rPr>
                <w:sz w:val="18"/>
                <w:szCs w:val="18"/>
              </w:rPr>
              <w:t xml:space="preserve"> som fx overskudsprocent og bruttoavanceprocent</w:t>
            </w:r>
            <w:r>
              <w:rPr>
                <w:sz w:val="18"/>
                <w:szCs w:val="18"/>
              </w:rPr>
              <w:t>)</w:t>
            </w:r>
          </w:p>
        </w:tc>
      </w:tr>
      <w:tr w:rsidR="00876432" w14:paraId="68F02134" w14:textId="77777777" w:rsidTr="00961FA5">
        <w:trPr>
          <w:cantSplit/>
          <w:trHeight w:val="1354"/>
        </w:trPr>
        <w:tc>
          <w:tcPr>
            <w:tcW w:w="1911" w:type="dxa"/>
            <w:shd w:val="clear" w:color="auto" w:fill="F2F2F2" w:themeFill="background1" w:themeFillShade="F2"/>
          </w:tcPr>
          <w:p w14:paraId="6B95D076" w14:textId="77777777" w:rsidR="00876432" w:rsidRPr="00327FD0" w:rsidRDefault="00876432" w:rsidP="00327FD0">
            <w:pPr>
              <w:rPr>
                <w:b/>
                <w:color w:val="000000" w:themeColor="text1"/>
              </w:rPr>
            </w:pPr>
            <w:r w:rsidRPr="00327FD0">
              <w:rPr>
                <w:b/>
                <w:bCs/>
                <w:color w:val="000000" w:themeColor="text1"/>
              </w:rPr>
              <w:t xml:space="preserve">Kunde- </w:t>
            </w:r>
          </w:p>
          <w:p w14:paraId="6D6B2451" w14:textId="77777777" w:rsidR="00876432" w:rsidRPr="00327FD0" w:rsidRDefault="00876432" w:rsidP="00327FD0">
            <w:pPr>
              <w:rPr>
                <w:b/>
                <w:color w:val="000000" w:themeColor="text1"/>
              </w:rPr>
            </w:pPr>
            <w:r w:rsidRPr="00327FD0">
              <w:rPr>
                <w:b/>
                <w:bCs/>
                <w:color w:val="000000" w:themeColor="text1"/>
              </w:rPr>
              <w:t>perspektivet</w:t>
            </w:r>
          </w:p>
          <w:p w14:paraId="715420B4" w14:textId="14C51AF8" w:rsidR="00876432" w:rsidRDefault="00876432" w:rsidP="000D3E43">
            <w:pPr>
              <w:rPr>
                <w:b/>
                <w:color w:val="000000" w:themeColor="text1"/>
              </w:rPr>
            </w:pPr>
          </w:p>
        </w:tc>
        <w:tc>
          <w:tcPr>
            <w:tcW w:w="7717" w:type="dxa"/>
          </w:tcPr>
          <w:p w14:paraId="5C3B45C3" w14:textId="6D2867E1" w:rsidR="00876432" w:rsidRPr="002E4675" w:rsidRDefault="002E4675" w:rsidP="002E4675">
            <w:pPr>
              <w:rPr>
                <w:color w:val="000000" w:themeColor="text1"/>
                <w:sz w:val="18"/>
                <w:szCs w:val="18"/>
              </w:rPr>
            </w:pPr>
            <w:r>
              <w:rPr>
                <w:sz w:val="18"/>
                <w:szCs w:val="18"/>
              </w:rPr>
              <w:t>(</w:t>
            </w:r>
            <w:r w:rsidR="00876432" w:rsidRPr="002E4675">
              <w:rPr>
                <w:sz w:val="18"/>
                <w:szCs w:val="18"/>
              </w:rPr>
              <w:t>Kundeorienteret KPI’er</w:t>
            </w:r>
            <w:r w:rsidRPr="002E4675">
              <w:rPr>
                <w:sz w:val="18"/>
                <w:szCs w:val="18"/>
              </w:rPr>
              <w:t xml:space="preserve"> som fx kundetilfredshed og kundeloyalitet</w:t>
            </w:r>
            <w:r>
              <w:rPr>
                <w:sz w:val="18"/>
                <w:szCs w:val="18"/>
              </w:rPr>
              <w:t>)</w:t>
            </w:r>
          </w:p>
        </w:tc>
      </w:tr>
      <w:tr w:rsidR="00876432" w14:paraId="48F564DB" w14:textId="77777777" w:rsidTr="00DE32A2">
        <w:trPr>
          <w:cantSplit/>
          <w:trHeight w:val="1354"/>
        </w:trPr>
        <w:tc>
          <w:tcPr>
            <w:tcW w:w="1911" w:type="dxa"/>
            <w:shd w:val="clear" w:color="auto" w:fill="F2F2F2" w:themeFill="background1" w:themeFillShade="F2"/>
          </w:tcPr>
          <w:p w14:paraId="4B73FBFA" w14:textId="681E153D" w:rsidR="00876432" w:rsidRPr="00327FD0" w:rsidRDefault="00876432" w:rsidP="00327FD0">
            <w:pPr>
              <w:rPr>
                <w:b/>
                <w:color w:val="000000" w:themeColor="text1"/>
              </w:rPr>
            </w:pPr>
            <w:r w:rsidRPr="00327FD0">
              <w:rPr>
                <w:b/>
                <w:bCs/>
                <w:color w:val="000000" w:themeColor="text1"/>
              </w:rPr>
              <w:t>Det interne procesperspektiv</w:t>
            </w:r>
          </w:p>
          <w:p w14:paraId="4FC4C164" w14:textId="68A85B42" w:rsidR="00876432" w:rsidRDefault="00876432" w:rsidP="000D3E43">
            <w:pPr>
              <w:rPr>
                <w:b/>
                <w:color w:val="000000" w:themeColor="text1"/>
              </w:rPr>
            </w:pPr>
          </w:p>
        </w:tc>
        <w:tc>
          <w:tcPr>
            <w:tcW w:w="7717" w:type="dxa"/>
          </w:tcPr>
          <w:p w14:paraId="78E6CA8C" w14:textId="63A1B60E" w:rsidR="00876432" w:rsidRPr="002E4675" w:rsidRDefault="002E4675" w:rsidP="002E4675">
            <w:pPr>
              <w:rPr>
                <w:color w:val="000000" w:themeColor="text1"/>
                <w:sz w:val="18"/>
                <w:szCs w:val="18"/>
              </w:rPr>
            </w:pPr>
            <w:r w:rsidRPr="002E4675">
              <w:rPr>
                <w:sz w:val="18"/>
                <w:szCs w:val="18"/>
              </w:rPr>
              <w:t>(</w:t>
            </w:r>
            <w:r w:rsidR="00876432" w:rsidRPr="002E4675">
              <w:rPr>
                <w:sz w:val="18"/>
                <w:szCs w:val="18"/>
              </w:rPr>
              <w:t>Interne procesorienteret KPI’er</w:t>
            </w:r>
            <w:r w:rsidRPr="002E4675">
              <w:rPr>
                <w:sz w:val="18"/>
                <w:szCs w:val="18"/>
              </w:rPr>
              <w:t xml:space="preserve"> som fx kvalitetsdata og fejlprocenter)</w:t>
            </w:r>
          </w:p>
        </w:tc>
      </w:tr>
      <w:tr w:rsidR="00876432" w14:paraId="02863CBC" w14:textId="77777777" w:rsidTr="00EF2891">
        <w:trPr>
          <w:cantSplit/>
          <w:trHeight w:val="1354"/>
        </w:trPr>
        <w:tc>
          <w:tcPr>
            <w:tcW w:w="1911" w:type="dxa"/>
            <w:shd w:val="clear" w:color="auto" w:fill="F2F2F2" w:themeFill="background1" w:themeFillShade="F2"/>
          </w:tcPr>
          <w:p w14:paraId="696D64FB" w14:textId="77777777" w:rsidR="00876432" w:rsidRPr="00327FD0" w:rsidRDefault="00876432" w:rsidP="00327FD0">
            <w:pPr>
              <w:rPr>
                <w:b/>
                <w:color w:val="000000" w:themeColor="text1"/>
              </w:rPr>
            </w:pPr>
            <w:r w:rsidRPr="00327FD0">
              <w:rPr>
                <w:b/>
                <w:bCs/>
                <w:color w:val="000000" w:themeColor="text1"/>
              </w:rPr>
              <w:t>Lærings- og vækstperspektivet</w:t>
            </w:r>
          </w:p>
          <w:p w14:paraId="098A71C8" w14:textId="1DC1D18A" w:rsidR="00876432" w:rsidRDefault="00876432" w:rsidP="000D3E43">
            <w:pPr>
              <w:rPr>
                <w:b/>
                <w:color w:val="000000" w:themeColor="text1"/>
              </w:rPr>
            </w:pPr>
          </w:p>
        </w:tc>
        <w:tc>
          <w:tcPr>
            <w:tcW w:w="7717" w:type="dxa"/>
          </w:tcPr>
          <w:p w14:paraId="523CD362" w14:textId="02C663A1" w:rsidR="00876432" w:rsidRPr="002E4675" w:rsidRDefault="002E4675" w:rsidP="002E4675">
            <w:pPr>
              <w:rPr>
                <w:color w:val="000000" w:themeColor="text1"/>
              </w:rPr>
            </w:pPr>
            <w:r w:rsidRPr="002E4675">
              <w:rPr>
                <w:sz w:val="18"/>
                <w:szCs w:val="18"/>
              </w:rPr>
              <w:t>(</w:t>
            </w:r>
            <w:r w:rsidR="00876432" w:rsidRPr="002E4675">
              <w:rPr>
                <w:sz w:val="18"/>
                <w:szCs w:val="18"/>
              </w:rPr>
              <w:t>KPI’er i relation til læring- og vækstperspektivet</w:t>
            </w:r>
            <w:r w:rsidRPr="002E4675">
              <w:rPr>
                <w:sz w:val="18"/>
                <w:szCs w:val="18"/>
              </w:rPr>
              <w:t xml:space="preserve"> som fx uddannelsesniveau og læringsaktiviteter)</w:t>
            </w:r>
          </w:p>
        </w:tc>
      </w:tr>
      <w:tr w:rsidR="00D273F5" w14:paraId="32B0BC21" w14:textId="77777777" w:rsidTr="00327FD0">
        <w:trPr>
          <w:trHeight w:val="1354"/>
        </w:trPr>
        <w:tc>
          <w:tcPr>
            <w:tcW w:w="1911" w:type="dxa"/>
            <w:shd w:val="clear" w:color="auto" w:fill="F2F2F2" w:themeFill="background1" w:themeFillShade="F2"/>
          </w:tcPr>
          <w:p w14:paraId="3291D6ED" w14:textId="2B63683B" w:rsidR="00D273F5" w:rsidRPr="00280225" w:rsidRDefault="00D273F5" w:rsidP="00AE2245">
            <w:pPr>
              <w:rPr>
                <w:b/>
                <w:color w:val="000000" w:themeColor="text1"/>
              </w:rPr>
            </w:pPr>
          </w:p>
        </w:tc>
        <w:tc>
          <w:tcPr>
            <w:tcW w:w="7717" w:type="dxa"/>
          </w:tcPr>
          <w:p w14:paraId="5FC6E2ED" w14:textId="5AE8C296" w:rsidR="00D273F5" w:rsidRDefault="00D273F5" w:rsidP="00AE2245">
            <w:pPr>
              <w:rPr>
                <w:b/>
                <w:bCs/>
                <w:color w:val="000000" w:themeColor="text1"/>
              </w:rPr>
            </w:pPr>
            <w:r>
              <w:rPr>
                <w:b/>
                <w:bCs/>
                <w:color w:val="000000" w:themeColor="text1"/>
              </w:rPr>
              <w:t xml:space="preserve">Samlet </w:t>
            </w:r>
            <w:r w:rsidR="0021006F">
              <w:rPr>
                <w:b/>
                <w:bCs/>
                <w:color w:val="000000" w:themeColor="text1"/>
              </w:rPr>
              <w:t>vurdering</w:t>
            </w:r>
          </w:p>
          <w:p w14:paraId="2E7DE868" w14:textId="2F49B78C" w:rsidR="0021006F" w:rsidRDefault="0021006F" w:rsidP="00AE2245">
            <w:pPr>
              <w:rPr>
                <w:b/>
                <w:bCs/>
                <w:color w:val="000000" w:themeColor="text1"/>
              </w:rPr>
            </w:pPr>
          </w:p>
          <w:p w14:paraId="3A134090" w14:textId="26433E54" w:rsidR="0021006F" w:rsidRDefault="0021006F" w:rsidP="00AE2245">
            <w:pPr>
              <w:rPr>
                <w:b/>
                <w:bCs/>
                <w:color w:val="000000" w:themeColor="text1"/>
              </w:rPr>
            </w:pPr>
          </w:p>
          <w:p w14:paraId="7CBAD4A2" w14:textId="77777777" w:rsidR="00985421" w:rsidRDefault="00985421" w:rsidP="00AE2245">
            <w:pPr>
              <w:rPr>
                <w:b/>
                <w:bCs/>
                <w:color w:val="000000" w:themeColor="text1"/>
              </w:rPr>
            </w:pPr>
          </w:p>
          <w:p w14:paraId="1FEF1977" w14:textId="6D39DC57" w:rsidR="0021006F" w:rsidRDefault="0021006F" w:rsidP="00AE2245">
            <w:pPr>
              <w:rPr>
                <w:b/>
                <w:bCs/>
                <w:color w:val="000000" w:themeColor="text1"/>
              </w:rPr>
            </w:pPr>
          </w:p>
        </w:tc>
      </w:tr>
    </w:tbl>
    <w:p w14:paraId="0E0B2604" w14:textId="406584F0" w:rsidR="009A1923" w:rsidRDefault="009A1923"/>
    <w:p w14:paraId="01577C85" w14:textId="77777777" w:rsidR="002E4675" w:rsidRDefault="002E4675" w:rsidP="002E4675">
      <w:pPr>
        <w:spacing w:after="0"/>
      </w:pPr>
      <w:r>
        <w:br w:type="page"/>
      </w:r>
    </w:p>
    <w:tbl>
      <w:tblPr>
        <w:tblStyle w:val="Tabel-Gitter"/>
        <w:tblW w:w="0" w:type="auto"/>
        <w:tblLook w:val="04A0" w:firstRow="1" w:lastRow="0" w:firstColumn="1" w:lastColumn="0" w:noHBand="0" w:noVBand="1"/>
      </w:tblPr>
      <w:tblGrid>
        <w:gridCol w:w="1911"/>
        <w:gridCol w:w="7717"/>
      </w:tblGrid>
      <w:tr w:rsidR="002E4675" w14:paraId="760597F8" w14:textId="77777777" w:rsidTr="00F8581D">
        <w:trPr>
          <w:trHeight w:val="680"/>
        </w:trPr>
        <w:tc>
          <w:tcPr>
            <w:tcW w:w="9628" w:type="dxa"/>
            <w:gridSpan w:val="2"/>
            <w:shd w:val="clear" w:color="auto" w:fill="D9D9D9" w:themeFill="background1" w:themeFillShade="D9"/>
            <w:vAlign w:val="center"/>
          </w:tcPr>
          <w:p w14:paraId="1450ACE5" w14:textId="77777777" w:rsidR="002E4675" w:rsidRPr="00462136" w:rsidRDefault="002E4675" w:rsidP="00F8581D">
            <w:pPr>
              <w:jc w:val="center"/>
              <w:rPr>
                <w:b/>
                <w:color w:val="000000" w:themeColor="text1"/>
              </w:rPr>
            </w:pPr>
            <w:r>
              <w:rPr>
                <w:b/>
              </w:rPr>
              <w:lastRenderedPageBreak/>
              <w:t>Balanced Scorecard – (BSC)</w:t>
            </w:r>
          </w:p>
        </w:tc>
      </w:tr>
      <w:tr w:rsidR="002E4675" w14:paraId="22B19406" w14:textId="77777777" w:rsidTr="00F8581D">
        <w:trPr>
          <w:trHeight w:val="682"/>
        </w:trPr>
        <w:tc>
          <w:tcPr>
            <w:tcW w:w="1911" w:type="dxa"/>
            <w:shd w:val="clear" w:color="auto" w:fill="E7E6E6" w:themeFill="background2"/>
            <w:vAlign w:val="center"/>
          </w:tcPr>
          <w:p w14:paraId="4FA3F513" w14:textId="77777777" w:rsidR="002E4675" w:rsidRDefault="002E4675" w:rsidP="00F8581D">
            <w:pPr>
              <w:rPr>
                <w:b/>
                <w:color w:val="000000" w:themeColor="text1"/>
              </w:rPr>
            </w:pPr>
          </w:p>
        </w:tc>
        <w:tc>
          <w:tcPr>
            <w:tcW w:w="7717" w:type="dxa"/>
            <w:shd w:val="clear" w:color="auto" w:fill="E7E6E6" w:themeFill="background2"/>
          </w:tcPr>
          <w:p w14:paraId="5FFDB264" w14:textId="77777777" w:rsidR="002E4675" w:rsidRPr="00680B8E" w:rsidRDefault="002E4675" w:rsidP="00F8581D">
            <w:pPr>
              <w:rPr>
                <w:color w:val="000000" w:themeColor="text1"/>
              </w:rPr>
            </w:pPr>
            <w:r>
              <w:rPr>
                <w:b/>
                <w:bCs/>
                <w:color w:val="000000" w:themeColor="text1"/>
              </w:rPr>
              <w:t>Samlet v</w:t>
            </w:r>
            <w:r w:rsidRPr="00C910B3">
              <w:rPr>
                <w:b/>
                <w:bCs/>
                <w:color w:val="000000" w:themeColor="text1"/>
              </w:rPr>
              <w:t>urdering</w:t>
            </w:r>
          </w:p>
        </w:tc>
      </w:tr>
      <w:tr w:rsidR="002E4675" w14:paraId="24C6F68F" w14:textId="77777777" w:rsidTr="00F8581D">
        <w:trPr>
          <w:trHeight w:val="1354"/>
        </w:trPr>
        <w:tc>
          <w:tcPr>
            <w:tcW w:w="1911" w:type="dxa"/>
            <w:shd w:val="clear" w:color="auto" w:fill="F2F2F2" w:themeFill="background1" w:themeFillShade="F2"/>
          </w:tcPr>
          <w:p w14:paraId="11888106" w14:textId="77777777" w:rsidR="002E4675" w:rsidRPr="00327FD0" w:rsidRDefault="002E4675" w:rsidP="00F8581D">
            <w:pPr>
              <w:rPr>
                <w:b/>
              </w:rPr>
            </w:pPr>
            <w:r w:rsidRPr="00327FD0">
              <w:rPr>
                <w:b/>
                <w:bCs/>
              </w:rPr>
              <w:t>Det finansielle perspektiv</w:t>
            </w:r>
          </w:p>
          <w:p w14:paraId="3CCA8AA9" w14:textId="77777777" w:rsidR="002E4675" w:rsidRDefault="002E4675" w:rsidP="00F8581D">
            <w:pPr>
              <w:rPr>
                <w:b/>
                <w:color w:val="000000" w:themeColor="text1"/>
              </w:rPr>
            </w:pPr>
          </w:p>
        </w:tc>
        <w:tc>
          <w:tcPr>
            <w:tcW w:w="7717" w:type="dxa"/>
          </w:tcPr>
          <w:p w14:paraId="41365A2C" w14:textId="77777777" w:rsidR="002E4675" w:rsidRPr="00C74798" w:rsidRDefault="002E4675" w:rsidP="00F8581D">
            <w:pPr>
              <w:rPr>
                <w:b/>
                <w:bCs/>
                <w:color w:val="000000" w:themeColor="text1"/>
              </w:rPr>
            </w:pPr>
            <w:r>
              <w:rPr>
                <w:b/>
                <w:bCs/>
              </w:rPr>
              <w:t>Finansielle KPI’er</w:t>
            </w:r>
          </w:p>
          <w:p w14:paraId="5D2E2F96" w14:textId="77777777" w:rsidR="002E4675" w:rsidRDefault="002E4675" w:rsidP="00F8581D">
            <w:pPr>
              <w:pStyle w:val="Listeafsnit"/>
              <w:numPr>
                <w:ilvl w:val="0"/>
                <w:numId w:val="18"/>
              </w:numPr>
              <w:ind w:left="344"/>
              <w:rPr>
                <w:color w:val="000000" w:themeColor="text1"/>
              </w:rPr>
            </w:pPr>
            <w:r>
              <w:rPr>
                <w:color w:val="000000" w:themeColor="text1"/>
              </w:rPr>
              <w:t>…</w:t>
            </w:r>
          </w:p>
          <w:p w14:paraId="4FE47305" w14:textId="77777777" w:rsidR="002E4675" w:rsidRDefault="002E4675" w:rsidP="00F8581D">
            <w:pPr>
              <w:pStyle w:val="Listeafsnit"/>
              <w:numPr>
                <w:ilvl w:val="0"/>
                <w:numId w:val="18"/>
              </w:numPr>
              <w:ind w:left="344"/>
              <w:rPr>
                <w:color w:val="000000" w:themeColor="text1"/>
              </w:rPr>
            </w:pPr>
            <w:r>
              <w:rPr>
                <w:color w:val="000000" w:themeColor="text1"/>
              </w:rPr>
              <w:t>..</w:t>
            </w:r>
          </w:p>
          <w:p w14:paraId="0A1D6561" w14:textId="77777777" w:rsidR="002E4675" w:rsidRPr="00327FD0" w:rsidRDefault="002E4675" w:rsidP="00F8581D">
            <w:pPr>
              <w:pStyle w:val="Listeafsnit"/>
              <w:numPr>
                <w:ilvl w:val="0"/>
                <w:numId w:val="18"/>
              </w:numPr>
              <w:ind w:left="344"/>
              <w:rPr>
                <w:color w:val="000000" w:themeColor="text1"/>
              </w:rPr>
            </w:pPr>
            <w:r>
              <w:rPr>
                <w:color w:val="000000" w:themeColor="text1"/>
              </w:rPr>
              <w:t>.</w:t>
            </w:r>
          </w:p>
        </w:tc>
      </w:tr>
      <w:tr w:rsidR="002E4675" w14:paraId="2D6EE603" w14:textId="77777777" w:rsidTr="00F8581D">
        <w:trPr>
          <w:cantSplit/>
          <w:trHeight w:val="1354"/>
        </w:trPr>
        <w:tc>
          <w:tcPr>
            <w:tcW w:w="1911" w:type="dxa"/>
            <w:shd w:val="clear" w:color="auto" w:fill="F2F2F2" w:themeFill="background1" w:themeFillShade="F2"/>
          </w:tcPr>
          <w:p w14:paraId="7FED87E3" w14:textId="77777777" w:rsidR="002E4675" w:rsidRPr="00327FD0" w:rsidRDefault="002E4675" w:rsidP="00F8581D">
            <w:pPr>
              <w:rPr>
                <w:b/>
                <w:color w:val="000000" w:themeColor="text1"/>
              </w:rPr>
            </w:pPr>
            <w:r w:rsidRPr="00327FD0">
              <w:rPr>
                <w:b/>
                <w:bCs/>
                <w:color w:val="000000" w:themeColor="text1"/>
              </w:rPr>
              <w:t xml:space="preserve">Kunde- </w:t>
            </w:r>
          </w:p>
          <w:p w14:paraId="56831BA8" w14:textId="77777777" w:rsidR="002E4675" w:rsidRPr="00327FD0" w:rsidRDefault="002E4675" w:rsidP="00F8581D">
            <w:pPr>
              <w:rPr>
                <w:b/>
                <w:color w:val="000000" w:themeColor="text1"/>
              </w:rPr>
            </w:pPr>
            <w:r w:rsidRPr="00327FD0">
              <w:rPr>
                <w:b/>
                <w:bCs/>
                <w:color w:val="000000" w:themeColor="text1"/>
              </w:rPr>
              <w:t>perspektivet</w:t>
            </w:r>
          </w:p>
          <w:p w14:paraId="7EC8D02C" w14:textId="77777777" w:rsidR="002E4675" w:rsidRDefault="002E4675" w:rsidP="00F8581D">
            <w:pPr>
              <w:rPr>
                <w:b/>
                <w:color w:val="000000" w:themeColor="text1"/>
              </w:rPr>
            </w:pPr>
          </w:p>
        </w:tc>
        <w:tc>
          <w:tcPr>
            <w:tcW w:w="7717" w:type="dxa"/>
          </w:tcPr>
          <w:p w14:paraId="78E72782" w14:textId="77777777" w:rsidR="002E4675" w:rsidRDefault="002E4675" w:rsidP="00F8581D">
            <w:pPr>
              <w:rPr>
                <w:b/>
                <w:bCs/>
              </w:rPr>
            </w:pPr>
            <w:r>
              <w:rPr>
                <w:b/>
                <w:bCs/>
              </w:rPr>
              <w:t>Kundeorienteret KPI’er</w:t>
            </w:r>
          </w:p>
          <w:p w14:paraId="56E3AC6C" w14:textId="77777777" w:rsidR="002E4675" w:rsidRDefault="002E4675" w:rsidP="00F8581D">
            <w:pPr>
              <w:pStyle w:val="Listeafsnit"/>
              <w:numPr>
                <w:ilvl w:val="0"/>
                <w:numId w:val="19"/>
              </w:numPr>
              <w:rPr>
                <w:color w:val="000000" w:themeColor="text1"/>
              </w:rPr>
            </w:pPr>
            <w:r>
              <w:rPr>
                <w:color w:val="000000" w:themeColor="text1"/>
              </w:rPr>
              <w:t>…</w:t>
            </w:r>
          </w:p>
          <w:p w14:paraId="775A915C" w14:textId="77777777" w:rsidR="002E4675" w:rsidRDefault="002E4675" w:rsidP="00F8581D">
            <w:pPr>
              <w:pStyle w:val="Listeafsnit"/>
              <w:numPr>
                <w:ilvl w:val="0"/>
                <w:numId w:val="19"/>
              </w:numPr>
              <w:rPr>
                <w:color w:val="000000" w:themeColor="text1"/>
              </w:rPr>
            </w:pPr>
            <w:r>
              <w:rPr>
                <w:color w:val="000000" w:themeColor="text1"/>
              </w:rPr>
              <w:t>..</w:t>
            </w:r>
          </w:p>
          <w:p w14:paraId="6887665D" w14:textId="77777777" w:rsidR="002E4675" w:rsidRPr="00876432" w:rsidRDefault="002E4675" w:rsidP="00F8581D">
            <w:pPr>
              <w:pStyle w:val="Listeafsnit"/>
              <w:numPr>
                <w:ilvl w:val="0"/>
                <w:numId w:val="19"/>
              </w:numPr>
              <w:rPr>
                <w:color w:val="000000" w:themeColor="text1"/>
              </w:rPr>
            </w:pPr>
            <w:r w:rsidRPr="00876432">
              <w:rPr>
                <w:color w:val="000000" w:themeColor="text1"/>
              </w:rPr>
              <w:t>.</w:t>
            </w:r>
          </w:p>
        </w:tc>
      </w:tr>
      <w:tr w:rsidR="002E4675" w14:paraId="0453EEC5" w14:textId="77777777" w:rsidTr="00F8581D">
        <w:trPr>
          <w:cantSplit/>
          <w:trHeight w:val="1354"/>
        </w:trPr>
        <w:tc>
          <w:tcPr>
            <w:tcW w:w="1911" w:type="dxa"/>
            <w:shd w:val="clear" w:color="auto" w:fill="F2F2F2" w:themeFill="background1" w:themeFillShade="F2"/>
          </w:tcPr>
          <w:p w14:paraId="127ACDF8" w14:textId="77777777" w:rsidR="002E4675" w:rsidRPr="00327FD0" w:rsidRDefault="002E4675" w:rsidP="00F8581D">
            <w:pPr>
              <w:rPr>
                <w:b/>
                <w:color w:val="000000" w:themeColor="text1"/>
              </w:rPr>
            </w:pPr>
            <w:r w:rsidRPr="00327FD0">
              <w:rPr>
                <w:b/>
                <w:bCs/>
                <w:color w:val="000000" w:themeColor="text1"/>
              </w:rPr>
              <w:t>Det interne procesperspektiv</w:t>
            </w:r>
          </w:p>
          <w:p w14:paraId="0C3C6482" w14:textId="77777777" w:rsidR="002E4675" w:rsidRDefault="002E4675" w:rsidP="00F8581D">
            <w:pPr>
              <w:rPr>
                <w:b/>
                <w:color w:val="000000" w:themeColor="text1"/>
              </w:rPr>
            </w:pPr>
          </w:p>
        </w:tc>
        <w:tc>
          <w:tcPr>
            <w:tcW w:w="7717" w:type="dxa"/>
          </w:tcPr>
          <w:p w14:paraId="03E898A9" w14:textId="77777777" w:rsidR="002E4675" w:rsidRDefault="002E4675" w:rsidP="00F8581D">
            <w:pPr>
              <w:rPr>
                <w:b/>
                <w:bCs/>
              </w:rPr>
            </w:pPr>
            <w:r>
              <w:rPr>
                <w:b/>
                <w:bCs/>
              </w:rPr>
              <w:t>Interne procesorienteret KPI’er</w:t>
            </w:r>
          </w:p>
          <w:p w14:paraId="0D353F2C" w14:textId="77777777" w:rsidR="002E4675" w:rsidRDefault="002E4675" w:rsidP="00F8581D">
            <w:pPr>
              <w:pStyle w:val="Listeafsnit"/>
              <w:numPr>
                <w:ilvl w:val="0"/>
                <w:numId w:val="20"/>
              </w:numPr>
              <w:spacing w:after="160" w:line="259" w:lineRule="auto"/>
              <w:rPr>
                <w:color w:val="000000" w:themeColor="text1"/>
              </w:rPr>
            </w:pPr>
            <w:r>
              <w:rPr>
                <w:color w:val="000000" w:themeColor="text1"/>
              </w:rPr>
              <w:t>…</w:t>
            </w:r>
          </w:p>
          <w:p w14:paraId="4EC5422A" w14:textId="77777777" w:rsidR="002E4675" w:rsidRDefault="002E4675" w:rsidP="00F8581D">
            <w:pPr>
              <w:pStyle w:val="Listeafsnit"/>
              <w:numPr>
                <w:ilvl w:val="0"/>
                <w:numId w:val="20"/>
              </w:numPr>
              <w:spacing w:after="160" w:line="259" w:lineRule="auto"/>
              <w:rPr>
                <w:color w:val="000000" w:themeColor="text1"/>
              </w:rPr>
            </w:pPr>
            <w:r>
              <w:rPr>
                <w:color w:val="000000" w:themeColor="text1"/>
              </w:rPr>
              <w:t>..</w:t>
            </w:r>
          </w:p>
          <w:p w14:paraId="00883488" w14:textId="77777777" w:rsidR="002E4675" w:rsidRPr="00876432" w:rsidRDefault="002E4675" w:rsidP="00F8581D">
            <w:pPr>
              <w:pStyle w:val="Listeafsnit"/>
              <w:numPr>
                <w:ilvl w:val="0"/>
                <w:numId w:val="20"/>
              </w:numPr>
              <w:rPr>
                <w:color w:val="000000" w:themeColor="text1"/>
              </w:rPr>
            </w:pPr>
            <w:r w:rsidRPr="00876432">
              <w:rPr>
                <w:color w:val="000000" w:themeColor="text1"/>
              </w:rPr>
              <w:t>.</w:t>
            </w:r>
          </w:p>
        </w:tc>
      </w:tr>
      <w:tr w:rsidR="002E4675" w14:paraId="2FEB26D7" w14:textId="77777777" w:rsidTr="00F8581D">
        <w:trPr>
          <w:cantSplit/>
          <w:trHeight w:val="1354"/>
        </w:trPr>
        <w:tc>
          <w:tcPr>
            <w:tcW w:w="1911" w:type="dxa"/>
            <w:shd w:val="clear" w:color="auto" w:fill="F2F2F2" w:themeFill="background1" w:themeFillShade="F2"/>
          </w:tcPr>
          <w:p w14:paraId="22FBB93C" w14:textId="77777777" w:rsidR="002E4675" w:rsidRPr="00327FD0" w:rsidRDefault="002E4675" w:rsidP="00F8581D">
            <w:pPr>
              <w:rPr>
                <w:b/>
                <w:color w:val="000000" w:themeColor="text1"/>
              </w:rPr>
            </w:pPr>
            <w:r w:rsidRPr="00327FD0">
              <w:rPr>
                <w:b/>
                <w:bCs/>
                <w:color w:val="000000" w:themeColor="text1"/>
              </w:rPr>
              <w:t>Lærings- og vækstperspektivet</w:t>
            </w:r>
          </w:p>
          <w:p w14:paraId="2DFE0494" w14:textId="77777777" w:rsidR="002E4675" w:rsidRDefault="002E4675" w:rsidP="00F8581D">
            <w:pPr>
              <w:rPr>
                <w:b/>
                <w:color w:val="000000" w:themeColor="text1"/>
              </w:rPr>
            </w:pPr>
          </w:p>
        </w:tc>
        <w:tc>
          <w:tcPr>
            <w:tcW w:w="7717" w:type="dxa"/>
          </w:tcPr>
          <w:p w14:paraId="05026ACA" w14:textId="77777777" w:rsidR="002E4675" w:rsidRDefault="002E4675" w:rsidP="00F8581D">
            <w:pPr>
              <w:rPr>
                <w:b/>
                <w:bCs/>
              </w:rPr>
            </w:pPr>
            <w:r>
              <w:rPr>
                <w:b/>
                <w:bCs/>
              </w:rPr>
              <w:t>KPI’er i relation til læring- og vækstperspektivet</w:t>
            </w:r>
          </w:p>
          <w:p w14:paraId="48C76804" w14:textId="77777777" w:rsidR="002E4675" w:rsidRDefault="002E4675" w:rsidP="00F8581D">
            <w:pPr>
              <w:pStyle w:val="Listeafsnit"/>
              <w:numPr>
                <w:ilvl w:val="0"/>
                <w:numId w:val="22"/>
              </w:numPr>
              <w:spacing w:after="160" w:line="259" w:lineRule="auto"/>
              <w:rPr>
                <w:color w:val="000000" w:themeColor="text1"/>
              </w:rPr>
            </w:pPr>
            <w:r>
              <w:rPr>
                <w:color w:val="000000" w:themeColor="text1"/>
              </w:rPr>
              <w:t>…</w:t>
            </w:r>
          </w:p>
          <w:p w14:paraId="24EE2C1F" w14:textId="77777777" w:rsidR="002E4675" w:rsidRDefault="002E4675" w:rsidP="00F8581D">
            <w:pPr>
              <w:pStyle w:val="Listeafsnit"/>
              <w:numPr>
                <w:ilvl w:val="0"/>
                <w:numId w:val="22"/>
              </w:numPr>
              <w:spacing w:after="160" w:line="259" w:lineRule="auto"/>
              <w:rPr>
                <w:color w:val="000000" w:themeColor="text1"/>
              </w:rPr>
            </w:pPr>
            <w:r>
              <w:rPr>
                <w:color w:val="000000" w:themeColor="text1"/>
              </w:rPr>
              <w:t>..</w:t>
            </w:r>
          </w:p>
          <w:p w14:paraId="601F6824" w14:textId="77777777" w:rsidR="002E4675" w:rsidRPr="00876432" w:rsidRDefault="002E4675" w:rsidP="00F8581D">
            <w:pPr>
              <w:pStyle w:val="Listeafsnit"/>
              <w:numPr>
                <w:ilvl w:val="0"/>
                <w:numId w:val="22"/>
              </w:numPr>
              <w:rPr>
                <w:color w:val="000000" w:themeColor="text1"/>
              </w:rPr>
            </w:pPr>
            <w:r w:rsidRPr="00876432">
              <w:rPr>
                <w:color w:val="000000" w:themeColor="text1"/>
              </w:rPr>
              <w:t>.</w:t>
            </w:r>
          </w:p>
        </w:tc>
      </w:tr>
      <w:tr w:rsidR="002E4675" w14:paraId="5690DC4B" w14:textId="77777777" w:rsidTr="00F8581D">
        <w:trPr>
          <w:trHeight w:val="1354"/>
        </w:trPr>
        <w:tc>
          <w:tcPr>
            <w:tcW w:w="1911" w:type="dxa"/>
            <w:shd w:val="clear" w:color="auto" w:fill="F2F2F2" w:themeFill="background1" w:themeFillShade="F2"/>
          </w:tcPr>
          <w:p w14:paraId="6B3DBFF3" w14:textId="77777777" w:rsidR="002E4675" w:rsidRPr="00280225" w:rsidRDefault="002E4675" w:rsidP="00F8581D">
            <w:pPr>
              <w:rPr>
                <w:b/>
                <w:color w:val="000000" w:themeColor="text1"/>
              </w:rPr>
            </w:pPr>
          </w:p>
        </w:tc>
        <w:tc>
          <w:tcPr>
            <w:tcW w:w="7717" w:type="dxa"/>
          </w:tcPr>
          <w:p w14:paraId="3AF9AFCF" w14:textId="77777777" w:rsidR="002E4675" w:rsidRDefault="002E4675" w:rsidP="00F8581D">
            <w:pPr>
              <w:rPr>
                <w:b/>
                <w:bCs/>
                <w:color w:val="000000" w:themeColor="text1"/>
              </w:rPr>
            </w:pPr>
            <w:r>
              <w:rPr>
                <w:b/>
                <w:bCs/>
                <w:color w:val="000000" w:themeColor="text1"/>
              </w:rPr>
              <w:t>Samlet vurdering</w:t>
            </w:r>
          </w:p>
          <w:p w14:paraId="17DA6CA5" w14:textId="77777777" w:rsidR="002E4675" w:rsidRDefault="002E4675" w:rsidP="00F8581D">
            <w:pPr>
              <w:rPr>
                <w:b/>
                <w:bCs/>
                <w:color w:val="000000" w:themeColor="text1"/>
              </w:rPr>
            </w:pPr>
          </w:p>
          <w:p w14:paraId="3186C49E" w14:textId="77777777" w:rsidR="002E4675" w:rsidRDefault="002E4675" w:rsidP="00F8581D">
            <w:pPr>
              <w:rPr>
                <w:b/>
                <w:bCs/>
                <w:color w:val="000000" w:themeColor="text1"/>
              </w:rPr>
            </w:pPr>
          </w:p>
          <w:p w14:paraId="1A31B09A" w14:textId="77777777" w:rsidR="002E4675" w:rsidRDefault="002E4675" w:rsidP="00F8581D">
            <w:pPr>
              <w:rPr>
                <w:b/>
                <w:bCs/>
                <w:color w:val="000000" w:themeColor="text1"/>
              </w:rPr>
            </w:pPr>
          </w:p>
          <w:p w14:paraId="7F50B731" w14:textId="77777777" w:rsidR="002E4675" w:rsidRDefault="002E4675" w:rsidP="00F8581D">
            <w:pPr>
              <w:rPr>
                <w:b/>
                <w:bCs/>
                <w:color w:val="000000" w:themeColor="text1"/>
              </w:rPr>
            </w:pPr>
          </w:p>
        </w:tc>
      </w:tr>
    </w:tbl>
    <w:p w14:paraId="0E600F14" w14:textId="77777777" w:rsidR="002E4675" w:rsidRDefault="002E4675" w:rsidP="002E4675"/>
    <w:p w14:paraId="7F769F75" w14:textId="02070186" w:rsidR="00DA41E6" w:rsidRDefault="00DA41E6">
      <w:pPr>
        <w:rPr>
          <w:bCs/>
          <w:color w:val="000000" w:themeColor="text1"/>
        </w:rPr>
      </w:pPr>
      <w:r>
        <w:rPr>
          <w:bCs/>
          <w:color w:val="000000" w:themeColor="text1"/>
        </w:rPr>
        <w:br w:type="page"/>
      </w:r>
    </w:p>
    <w:tbl>
      <w:tblPr>
        <w:tblStyle w:val="Tabel-Gitter"/>
        <w:tblW w:w="0" w:type="auto"/>
        <w:tblLook w:val="04A0" w:firstRow="1" w:lastRow="0" w:firstColumn="1" w:lastColumn="0" w:noHBand="0" w:noVBand="1"/>
      </w:tblPr>
      <w:tblGrid>
        <w:gridCol w:w="9628"/>
      </w:tblGrid>
      <w:tr w:rsidR="00DA41E6" w14:paraId="255E3D4B" w14:textId="77777777" w:rsidTr="00DA41E6">
        <w:trPr>
          <w:trHeight w:val="680"/>
        </w:trPr>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7735F9" w14:textId="77777777" w:rsidR="00DA41E6" w:rsidRDefault="00DA41E6">
            <w:pPr>
              <w:jc w:val="center"/>
              <w:rPr>
                <w:b/>
                <w:color w:val="000000" w:themeColor="text1"/>
              </w:rPr>
            </w:pPr>
            <w:r>
              <w:rPr>
                <w:b/>
              </w:rPr>
              <w:lastRenderedPageBreak/>
              <w:t>Grafisk fremstilling af Balanced Scorecard (BSC) for Thise Mejeri</w:t>
            </w:r>
          </w:p>
        </w:tc>
      </w:tr>
    </w:tbl>
    <w:p w14:paraId="1E1EBE95" w14:textId="6A8D76D4" w:rsidR="002E4675" w:rsidRDefault="00DA41E6">
      <w:r w:rsidRPr="00761CF0">
        <w:rPr>
          <w:noProof/>
        </w:rPr>
        <w:drawing>
          <wp:inline distT="0" distB="0" distL="0" distR="0" wp14:anchorId="50149189" wp14:editId="16F3A942">
            <wp:extent cx="6120130" cy="4533265"/>
            <wp:effectExtent l="19050" t="19050" r="13970" b="19685"/>
            <wp:docPr id="122" name="Billed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4533265"/>
                    </a:xfrm>
                    <a:prstGeom prst="rect">
                      <a:avLst/>
                    </a:prstGeom>
                    <a:ln>
                      <a:solidFill>
                        <a:schemeClr val="tx1"/>
                      </a:solidFill>
                    </a:ln>
                  </pic:spPr>
                </pic:pic>
              </a:graphicData>
            </a:graphic>
          </wp:inline>
        </w:drawing>
      </w:r>
    </w:p>
    <w:sectPr w:rsidR="002E4675">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7FAE6" w14:textId="77777777" w:rsidR="00DA41AA" w:rsidRDefault="00DA41AA" w:rsidP="00F57F7D">
      <w:pPr>
        <w:spacing w:after="0" w:line="240" w:lineRule="auto"/>
      </w:pPr>
      <w:r>
        <w:separator/>
      </w:r>
    </w:p>
  </w:endnote>
  <w:endnote w:type="continuationSeparator" w:id="0">
    <w:p w14:paraId="6A3F4C24" w14:textId="77777777" w:rsidR="00DA41AA" w:rsidRDefault="00DA41AA" w:rsidP="00F5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1DB6" w14:textId="77777777" w:rsidR="00EC6076" w:rsidRDefault="00EC607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11188"/>
      <w:docPartObj>
        <w:docPartGallery w:val="Page Numbers (Bottom of Page)"/>
        <w:docPartUnique/>
      </w:docPartObj>
    </w:sdtPr>
    <w:sdtContent>
      <w:sdt>
        <w:sdtPr>
          <w:id w:val="1728636285"/>
          <w:docPartObj>
            <w:docPartGallery w:val="Page Numbers (Top of Page)"/>
            <w:docPartUnique/>
          </w:docPartObj>
        </w:sdtPr>
        <w:sdtContent>
          <w:p w14:paraId="11E9DD4D" w14:textId="77777777" w:rsidR="007375BD" w:rsidRDefault="007375BD">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3DB9AAE" w14:textId="77777777" w:rsidR="007375BD" w:rsidRDefault="007375B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32DB" w14:textId="77777777" w:rsidR="00EC6076" w:rsidRDefault="00EC607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15CF9" w14:textId="77777777" w:rsidR="00DA41AA" w:rsidRDefault="00DA41AA" w:rsidP="00F57F7D">
      <w:pPr>
        <w:spacing w:after="0" w:line="240" w:lineRule="auto"/>
      </w:pPr>
      <w:r>
        <w:separator/>
      </w:r>
    </w:p>
  </w:footnote>
  <w:footnote w:type="continuationSeparator" w:id="0">
    <w:p w14:paraId="0D1AE932" w14:textId="77777777" w:rsidR="00DA41AA" w:rsidRDefault="00DA41AA" w:rsidP="00F57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5441" w14:textId="77777777" w:rsidR="00EC6076" w:rsidRDefault="00EC607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DEE1" w14:textId="0013796F" w:rsidR="00F57F7D" w:rsidRPr="009D604B" w:rsidRDefault="00AE1E4B" w:rsidP="00E95A17">
    <w:pPr>
      <w:tabs>
        <w:tab w:val="right" w:pos="9639"/>
      </w:tabs>
      <w:spacing w:after="0"/>
    </w:pPr>
    <w:r>
      <w:rPr>
        <w:rFonts w:ascii="Verdana" w:hAnsi="Verdana"/>
        <w:b/>
        <w:sz w:val="28"/>
        <w:szCs w:val="28"/>
      </w:rPr>
      <w:t>STRATEGI – det strategiske lederskab</w:t>
    </w:r>
    <w:r w:rsidR="00E95A17">
      <w:rPr>
        <w:rFonts w:ascii="Verdana" w:hAnsi="Verdana"/>
      </w:rPr>
      <w:tab/>
    </w:r>
    <w:r w:rsidR="00E95A17">
      <w:rPr>
        <w:rFonts w:ascii="Verdana" w:hAnsi="Verdana"/>
        <w:b/>
        <w:sz w:val="40"/>
        <w:szCs w:val="40"/>
      </w:rPr>
      <w:t>Trojka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3AB0" w14:textId="77777777" w:rsidR="00EC6076" w:rsidRDefault="00EC607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F14"/>
    <w:multiLevelType w:val="hybridMultilevel"/>
    <w:tmpl w:val="F2B22400"/>
    <w:lvl w:ilvl="0" w:tplc="0406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C8206C5"/>
    <w:multiLevelType w:val="hybridMultilevel"/>
    <w:tmpl w:val="DF462DE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FFD0DFB"/>
    <w:multiLevelType w:val="hybridMultilevel"/>
    <w:tmpl w:val="1638ACA0"/>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A0F55"/>
    <w:multiLevelType w:val="hybridMultilevel"/>
    <w:tmpl w:val="543E3CA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0E376AF"/>
    <w:multiLevelType w:val="hybridMultilevel"/>
    <w:tmpl w:val="E7C88AE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B6F275C"/>
    <w:multiLevelType w:val="hybridMultilevel"/>
    <w:tmpl w:val="7EF4C86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21B728BE"/>
    <w:multiLevelType w:val="hybridMultilevel"/>
    <w:tmpl w:val="5F243BA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A4C7318"/>
    <w:multiLevelType w:val="hybridMultilevel"/>
    <w:tmpl w:val="5C20D5A2"/>
    <w:lvl w:ilvl="0" w:tplc="0406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AF9570A"/>
    <w:multiLevelType w:val="hybridMultilevel"/>
    <w:tmpl w:val="A7225848"/>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30450AEF"/>
    <w:multiLevelType w:val="hybridMultilevel"/>
    <w:tmpl w:val="0596C2A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325B08D1"/>
    <w:multiLevelType w:val="hybridMultilevel"/>
    <w:tmpl w:val="C23292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6A17646"/>
    <w:multiLevelType w:val="hybridMultilevel"/>
    <w:tmpl w:val="730E66B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76A0B6E"/>
    <w:multiLevelType w:val="hybridMultilevel"/>
    <w:tmpl w:val="4808BD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46EF7DB4"/>
    <w:multiLevelType w:val="hybridMultilevel"/>
    <w:tmpl w:val="84D679A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4C0F2A6B"/>
    <w:multiLevelType w:val="hybridMultilevel"/>
    <w:tmpl w:val="F0626918"/>
    <w:lvl w:ilvl="0" w:tplc="2E2A6C18">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57412FF4"/>
    <w:multiLevelType w:val="hybridMultilevel"/>
    <w:tmpl w:val="A894CC18"/>
    <w:lvl w:ilvl="0" w:tplc="23A8648A">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859109C"/>
    <w:multiLevelType w:val="hybridMultilevel"/>
    <w:tmpl w:val="AD38AE44"/>
    <w:lvl w:ilvl="0" w:tplc="0406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B342EEF"/>
    <w:multiLevelType w:val="hybridMultilevel"/>
    <w:tmpl w:val="879A80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60B84A78"/>
    <w:multiLevelType w:val="hybridMultilevel"/>
    <w:tmpl w:val="6E80BF02"/>
    <w:lvl w:ilvl="0" w:tplc="0406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64393762"/>
    <w:multiLevelType w:val="hybridMultilevel"/>
    <w:tmpl w:val="B2563A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78A80DE9"/>
    <w:multiLevelType w:val="hybridMultilevel"/>
    <w:tmpl w:val="B71431E4"/>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7D2A14CA"/>
    <w:multiLevelType w:val="hybridMultilevel"/>
    <w:tmpl w:val="3B0810E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573585203">
    <w:abstractNumId w:val="9"/>
  </w:num>
  <w:num w:numId="2" w16cid:durableId="630944985">
    <w:abstractNumId w:val="0"/>
  </w:num>
  <w:num w:numId="3" w16cid:durableId="388454163">
    <w:abstractNumId w:val="18"/>
  </w:num>
  <w:num w:numId="4" w16cid:durableId="1848864459">
    <w:abstractNumId w:val="16"/>
  </w:num>
  <w:num w:numId="5" w16cid:durableId="823813339">
    <w:abstractNumId w:val="21"/>
  </w:num>
  <w:num w:numId="6" w16cid:durableId="622619399">
    <w:abstractNumId w:val="10"/>
  </w:num>
  <w:num w:numId="7" w16cid:durableId="1011295830">
    <w:abstractNumId w:val="17"/>
  </w:num>
  <w:num w:numId="8" w16cid:durableId="615528380">
    <w:abstractNumId w:val="19"/>
  </w:num>
  <w:num w:numId="9" w16cid:durableId="776680579">
    <w:abstractNumId w:val="1"/>
  </w:num>
  <w:num w:numId="10" w16cid:durableId="836267739">
    <w:abstractNumId w:val="4"/>
  </w:num>
  <w:num w:numId="11" w16cid:durableId="840898235">
    <w:abstractNumId w:val="2"/>
  </w:num>
  <w:num w:numId="12" w16cid:durableId="686492236">
    <w:abstractNumId w:val="13"/>
  </w:num>
  <w:num w:numId="13" w16cid:durableId="330648515">
    <w:abstractNumId w:val="12"/>
  </w:num>
  <w:num w:numId="14" w16cid:durableId="473716920">
    <w:abstractNumId w:val="7"/>
  </w:num>
  <w:num w:numId="15" w16cid:durableId="1051424708">
    <w:abstractNumId w:val="20"/>
  </w:num>
  <w:num w:numId="16" w16cid:durableId="1954743627">
    <w:abstractNumId w:val="11"/>
  </w:num>
  <w:num w:numId="17" w16cid:durableId="1544947542">
    <w:abstractNumId w:val="5"/>
  </w:num>
  <w:num w:numId="18" w16cid:durableId="1839884685">
    <w:abstractNumId w:val="3"/>
  </w:num>
  <w:num w:numId="19" w16cid:durableId="730033731">
    <w:abstractNumId w:val="14"/>
  </w:num>
  <w:num w:numId="20" w16cid:durableId="1363090962">
    <w:abstractNumId w:val="15"/>
  </w:num>
  <w:num w:numId="21" w16cid:durableId="1674457605">
    <w:abstractNumId w:val="6"/>
  </w:num>
  <w:num w:numId="22" w16cid:durableId="82490393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91"/>
    <w:rsid w:val="0000181B"/>
    <w:rsid w:val="0001372F"/>
    <w:rsid w:val="0003100E"/>
    <w:rsid w:val="00034A83"/>
    <w:rsid w:val="000441B8"/>
    <w:rsid w:val="00066A27"/>
    <w:rsid w:val="00071B84"/>
    <w:rsid w:val="000833C1"/>
    <w:rsid w:val="000B5988"/>
    <w:rsid w:val="000C4D67"/>
    <w:rsid w:val="000D3E43"/>
    <w:rsid w:val="000E4ECE"/>
    <w:rsid w:val="000F7860"/>
    <w:rsid w:val="000F7AE8"/>
    <w:rsid w:val="00107556"/>
    <w:rsid w:val="00116BB9"/>
    <w:rsid w:val="0014016F"/>
    <w:rsid w:val="001566B0"/>
    <w:rsid w:val="00167049"/>
    <w:rsid w:val="0017198F"/>
    <w:rsid w:val="00177430"/>
    <w:rsid w:val="00180D0E"/>
    <w:rsid w:val="00180F3E"/>
    <w:rsid w:val="00187104"/>
    <w:rsid w:val="0019732C"/>
    <w:rsid w:val="001A11EE"/>
    <w:rsid w:val="001A5B9B"/>
    <w:rsid w:val="001D2192"/>
    <w:rsid w:val="001D268E"/>
    <w:rsid w:val="001E121F"/>
    <w:rsid w:val="001E4D91"/>
    <w:rsid w:val="001E733E"/>
    <w:rsid w:val="001F1F7F"/>
    <w:rsid w:val="00203AF6"/>
    <w:rsid w:val="0021006F"/>
    <w:rsid w:val="00227956"/>
    <w:rsid w:val="00230DF4"/>
    <w:rsid w:val="00235A0A"/>
    <w:rsid w:val="002408C3"/>
    <w:rsid w:val="002565C8"/>
    <w:rsid w:val="00271AC8"/>
    <w:rsid w:val="00272744"/>
    <w:rsid w:val="00276139"/>
    <w:rsid w:val="0029491A"/>
    <w:rsid w:val="002E0915"/>
    <w:rsid w:val="002E4675"/>
    <w:rsid w:val="00322BB1"/>
    <w:rsid w:val="00327FD0"/>
    <w:rsid w:val="00334402"/>
    <w:rsid w:val="00344A0E"/>
    <w:rsid w:val="003522CA"/>
    <w:rsid w:val="003571F8"/>
    <w:rsid w:val="00362478"/>
    <w:rsid w:val="0036273C"/>
    <w:rsid w:val="00382C8C"/>
    <w:rsid w:val="00395D50"/>
    <w:rsid w:val="003A0555"/>
    <w:rsid w:val="003B2F96"/>
    <w:rsid w:val="003E6391"/>
    <w:rsid w:val="003E7B24"/>
    <w:rsid w:val="003E7FAB"/>
    <w:rsid w:val="003F30C5"/>
    <w:rsid w:val="00400287"/>
    <w:rsid w:val="0040566B"/>
    <w:rsid w:val="00410170"/>
    <w:rsid w:val="004257FA"/>
    <w:rsid w:val="00435044"/>
    <w:rsid w:val="004418DB"/>
    <w:rsid w:val="00452519"/>
    <w:rsid w:val="00456122"/>
    <w:rsid w:val="0046152D"/>
    <w:rsid w:val="004661F0"/>
    <w:rsid w:val="00470EB0"/>
    <w:rsid w:val="0047255D"/>
    <w:rsid w:val="004809AB"/>
    <w:rsid w:val="00484D74"/>
    <w:rsid w:val="00487687"/>
    <w:rsid w:val="004928A5"/>
    <w:rsid w:val="004A7350"/>
    <w:rsid w:val="004C6ED9"/>
    <w:rsid w:val="004E00E7"/>
    <w:rsid w:val="004E14B0"/>
    <w:rsid w:val="004E410D"/>
    <w:rsid w:val="004E4FD3"/>
    <w:rsid w:val="004E6358"/>
    <w:rsid w:val="004F340F"/>
    <w:rsid w:val="004F740B"/>
    <w:rsid w:val="005166C8"/>
    <w:rsid w:val="00516DC8"/>
    <w:rsid w:val="005201E9"/>
    <w:rsid w:val="00527540"/>
    <w:rsid w:val="005402EF"/>
    <w:rsid w:val="005418BC"/>
    <w:rsid w:val="00542955"/>
    <w:rsid w:val="00562142"/>
    <w:rsid w:val="00583799"/>
    <w:rsid w:val="005864D4"/>
    <w:rsid w:val="005A55F0"/>
    <w:rsid w:val="005B0365"/>
    <w:rsid w:val="005B6519"/>
    <w:rsid w:val="005E331D"/>
    <w:rsid w:val="005E373A"/>
    <w:rsid w:val="00600753"/>
    <w:rsid w:val="00602261"/>
    <w:rsid w:val="00602F33"/>
    <w:rsid w:val="0061056F"/>
    <w:rsid w:val="00610E13"/>
    <w:rsid w:val="00614FD0"/>
    <w:rsid w:val="006349D7"/>
    <w:rsid w:val="00637F35"/>
    <w:rsid w:val="0064040C"/>
    <w:rsid w:val="0065122E"/>
    <w:rsid w:val="00656DB5"/>
    <w:rsid w:val="00677794"/>
    <w:rsid w:val="00680B8E"/>
    <w:rsid w:val="006923A6"/>
    <w:rsid w:val="006B64ED"/>
    <w:rsid w:val="006C35F6"/>
    <w:rsid w:val="006D2996"/>
    <w:rsid w:val="006E0EBD"/>
    <w:rsid w:val="0070488E"/>
    <w:rsid w:val="00707474"/>
    <w:rsid w:val="00714DE0"/>
    <w:rsid w:val="00720231"/>
    <w:rsid w:val="00720AF3"/>
    <w:rsid w:val="00720C07"/>
    <w:rsid w:val="00723038"/>
    <w:rsid w:val="00732173"/>
    <w:rsid w:val="007375BD"/>
    <w:rsid w:val="00742704"/>
    <w:rsid w:val="00764AA1"/>
    <w:rsid w:val="0076780A"/>
    <w:rsid w:val="00770515"/>
    <w:rsid w:val="007B2B6E"/>
    <w:rsid w:val="007C5F8D"/>
    <w:rsid w:val="007E0959"/>
    <w:rsid w:val="007E5D10"/>
    <w:rsid w:val="008015ED"/>
    <w:rsid w:val="00820F31"/>
    <w:rsid w:val="00825ED3"/>
    <w:rsid w:val="00825F66"/>
    <w:rsid w:val="0084096F"/>
    <w:rsid w:val="00851EAE"/>
    <w:rsid w:val="008633DB"/>
    <w:rsid w:val="00876432"/>
    <w:rsid w:val="00881D7C"/>
    <w:rsid w:val="008916D6"/>
    <w:rsid w:val="00891B3B"/>
    <w:rsid w:val="008A0422"/>
    <w:rsid w:val="008A07B4"/>
    <w:rsid w:val="008B2D1E"/>
    <w:rsid w:val="008D5BB2"/>
    <w:rsid w:val="008D616D"/>
    <w:rsid w:val="008D6434"/>
    <w:rsid w:val="008E1BFF"/>
    <w:rsid w:val="0091070A"/>
    <w:rsid w:val="00917044"/>
    <w:rsid w:val="00976824"/>
    <w:rsid w:val="00985421"/>
    <w:rsid w:val="00991794"/>
    <w:rsid w:val="009A1923"/>
    <w:rsid w:val="009D604B"/>
    <w:rsid w:val="009E7884"/>
    <w:rsid w:val="009F5333"/>
    <w:rsid w:val="00A06EE7"/>
    <w:rsid w:val="00A24374"/>
    <w:rsid w:val="00A4311E"/>
    <w:rsid w:val="00A6047C"/>
    <w:rsid w:val="00A71DCD"/>
    <w:rsid w:val="00A76847"/>
    <w:rsid w:val="00AA57E5"/>
    <w:rsid w:val="00AD3D82"/>
    <w:rsid w:val="00AE1E4B"/>
    <w:rsid w:val="00AE2245"/>
    <w:rsid w:val="00AE543C"/>
    <w:rsid w:val="00AE57B3"/>
    <w:rsid w:val="00B070A9"/>
    <w:rsid w:val="00B10205"/>
    <w:rsid w:val="00B407A3"/>
    <w:rsid w:val="00B413C4"/>
    <w:rsid w:val="00B41E15"/>
    <w:rsid w:val="00B4493F"/>
    <w:rsid w:val="00B74D0E"/>
    <w:rsid w:val="00B80152"/>
    <w:rsid w:val="00B86416"/>
    <w:rsid w:val="00BA6413"/>
    <w:rsid w:val="00C05B15"/>
    <w:rsid w:val="00C10D64"/>
    <w:rsid w:val="00C1550C"/>
    <w:rsid w:val="00C204FF"/>
    <w:rsid w:val="00C3215C"/>
    <w:rsid w:val="00C338BE"/>
    <w:rsid w:val="00C33E31"/>
    <w:rsid w:val="00C34F70"/>
    <w:rsid w:val="00C551AF"/>
    <w:rsid w:val="00C62E67"/>
    <w:rsid w:val="00C654D3"/>
    <w:rsid w:val="00C74798"/>
    <w:rsid w:val="00C86A19"/>
    <w:rsid w:val="00C910B3"/>
    <w:rsid w:val="00C95E9E"/>
    <w:rsid w:val="00CB3B78"/>
    <w:rsid w:val="00CE3139"/>
    <w:rsid w:val="00CE3402"/>
    <w:rsid w:val="00D11540"/>
    <w:rsid w:val="00D11F84"/>
    <w:rsid w:val="00D17F8A"/>
    <w:rsid w:val="00D273F5"/>
    <w:rsid w:val="00D4229B"/>
    <w:rsid w:val="00D46A14"/>
    <w:rsid w:val="00D46D31"/>
    <w:rsid w:val="00D51DA9"/>
    <w:rsid w:val="00D60BD6"/>
    <w:rsid w:val="00D62982"/>
    <w:rsid w:val="00D666E7"/>
    <w:rsid w:val="00D67AE6"/>
    <w:rsid w:val="00DA41AA"/>
    <w:rsid w:val="00DA41E6"/>
    <w:rsid w:val="00DB47A3"/>
    <w:rsid w:val="00DD1907"/>
    <w:rsid w:val="00DF296B"/>
    <w:rsid w:val="00DF6B5A"/>
    <w:rsid w:val="00E16775"/>
    <w:rsid w:val="00E36396"/>
    <w:rsid w:val="00E44194"/>
    <w:rsid w:val="00E470CE"/>
    <w:rsid w:val="00E65B70"/>
    <w:rsid w:val="00E70F35"/>
    <w:rsid w:val="00E755E4"/>
    <w:rsid w:val="00E95A17"/>
    <w:rsid w:val="00EA29B9"/>
    <w:rsid w:val="00EC1370"/>
    <w:rsid w:val="00EC40F2"/>
    <w:rsid w:val="00EC446B"/>
    <w:rsid w:val="00EC6076"/>
    <w:rsid w:val="00EE1FF8"/>
    <w:rsid w:val="00F12F6B"/>
    <w:rsid w:val="00F14070"/>
    <w:rsid w:val="00F20455"/>
    <w:rsid w:val="00F57F7D"/>
    <w:rsid w:val="00F61B0D"/>
    <w:rsid w:val="00F706F8"/>
    <w:rsid w:val="00F761EC"/>
    <w:rsid w:val="00F809C7"/>
    <w:rsid w:val="00F86127"/>
    <w:rsid w:val="00F9576D"/>
    <w:rsid w:val="00FB3778"/>
    <w:rsid w:val="00FD14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D37"/>
  <w15:chartTrackingRefBased/>
  <w15:docId w15:val="{AEDE4D0D-6522-4F8A-AD49-F3BAC9E1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43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5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57F7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57F7D"/>
  </w:style>
  <w:style w:type="paragraph" w:styleId="Sidefod">
    <w:name w:val="footer"/>
    <w:basedOn w:val="Normal"/>
    <w:link w:val="SidefodTegn"/>
    <w:uiPriority w:val="99"/>
    <w:unhideWhenUsed/>
    <w:rsid w:val="00F57F7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57F7D"/>
  </w:style>
  <w:style w:type="paragraph" w:styleId="NormalWeb">
    <w:name w:val="Normal (Web)"/>
    <w:basedOn w:val="Normal"/>
    <w:uiPriority w:val="99"/>
    <w:semiHidden/>
    <w:unhideWhenUsed/>
    <w:rsid w:val="007375B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516DC8"/>
    <w:pPr>
      <w:ind w:left="720"/>
      <w:contextualSpacing/>
    </w:pPr>
  </w:style>
  <w:style w:type="paragraph" w:styleId="Markeringsbobletekst">
    <w:name w:val="Balloon Text"/>
    <w:basedOn w:val="Normal"/>
    <w:link w:val="MarkeringsbobletekstTegn"/>
    <w:uiPriority w:val="99"/>
    <w:semiHidden/>
    <w:unhideWhenUsed/>
    <w:rsid w:val="00071B8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71B84"/>
    <w:rPr>
      <w:rFonts w:ascii="Segoe UI" w:hAnsi="Segoe UI" w:cs="Segoe UI"/>
      <w:sz w:val="18"/>
      <w:szCs w:val="18"/>
    </w:rPr>
  </w:style>
  <w:style w:type="character" w:styleId="Hyperlink">
    <w:name w:val="Hyperlink"/>
    <w:basedOn w:val="Standardskrifttypeiafsnit"/>
    <w:uiPriority w:val="99"/>
    <w:unhideWhenUsed/>
    <w:rsid w:val="006923A6"/>
    <w:rPr>
      <w:color w:val="0563C1" w:themeColor="hyperlink"/>
      <w:u w:val="single"/>
    </w:rPr>
  </w:style>
  <w:style w:type="character" w:styleId="Ulstomtale">
    <w:name w:val="Unresolved Mention"/>
    <w:basedOn w:val="Standardskrifttypeiafsnit"/>
    <w:uiPriority w:val="99"/>
    <w:semiHidden/>
    <w:unhideWhenUsed/>
    <w:rsid w:val="006923A6"/>
    <w:rPr>
      <w:color w:val="605E5C"/>
      <w:shd w:val="clear" w:color="auto" w:fill="E1DFDD"/>
    </w:rPr>
  </w:style>
  <w:style w:type="character" w:styleId="BesgtLink">
    <w:name w:val="FollowedHyperlink"/>
    <w:basedOn w:val="Standardskrifttypeiafsnit"/>
    <w:uiPriority w:val="99"/>
    <w:semiHidden/>
    <w:unhideWhenUsed/>
    <w:rsid w:val="008B2D1E"/>
    <w:rPr>
      <w:color w:val="954F72" w:themeColor="followedHyperlink"/>
      <w:u w:val="single"/>
    </w:rPr>
  </w:style>
  <w:style w:type="table" w:customStyle="1" w:styleId="Tabel-Gitter1">
    <w:name w:val="Tabel - Gitter1"/>
    <w:basedOn w:val="Tabel-Normal"/>
    <w:next w:val="Tabel-Gitter"/>
    <w:uiPriority w:val="39"/>
    <w:rsid w:val="005166C8"/>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9148">
      <w:bodyDiv w:val="1"/>
      <w:marLeft w:val="0"/>
      <w:marRight w:val="0"/>
      <w:marTop w:val="0"/>
      <w:marBottom w:val="0"/>
      <w:divBdr>
        <w:top w:val="none" w:sz="0" w:space="0" w:color="auto"/>
        <w:left w:val="none" w:sz="0" w:space="0" w:color="auto"/>
        <w:bottom w:val="none" w:sz="0" w:space="0" w:color="auto"/>
        <w:right w:val="none" w:sz="0" w:space="0" w:color="auto"/>
      </w:divBdr>
    </w:div>
    <w:div w:id="28654609">
      <w:bodyDiv w:val="1"/>
      <w:marLeft w:val="0"/>
      <w:marRight w:val="0"/>
      <w:marTop w:val="0"/>
      <w:marBottom w:val="0"/>
      <w:divBdr>
        <w:top w:val="none" w:sz="0" w:space="0" w:color="auto"/>
        <w:left w:val="none" w:sz="0" w:space="0" w:color="auto"/>
        <w:bottom w:val="none" w:sz="0" w:space="0" w:color="auto"/>
        <w:right w:val="none" w:sz="0" w:space="0" w:color="auto"/>
      </w:divBdr>
    </w:div>
    <w:div w:id="47531333">
      <w:bodyDiv w:val="1"/>
      <w:marLeft w:val="0"/>
      <w:marRight w:val="0"/>
      <w:marTop w:val="0"/>
      <w:marBottom w:val="0"/>
      <w:divBdr>
        <w:top w:val="none" w:sz="0" w:space="0" w:color="auto"/>
        <w:left w:val="none" w:sz="0" w:space="0" w:color="auto"/>
        <w:bottom w:val="none" w:sz="0" w:space="0" w:color="auto"/>
        <w:right w:val="none" w:sz="0" w:space="0" w:color="auto"/>
      </w:divBdr>
      <w:divsChild>
        <w:div w:id="903249856">
          <w:marLeft w:val="547"/>
          <w:marRight w:val="0"/>
          <w:marTop w:val="0"/>
          <w:marBottom w:val="0"/>
          <w:divBdr>
            <w:top w:val="none" w:sz="0" w:space="0" w:color="auto"/>
            <w:left w:val="none" w:sz="0" w:space="0" w:color="auto"/>
            <w:bottom w:val="none" w:sz="0" w:space="0" w:color="auto"/>
            <w:right w:val="none" w:sz="0" w:space="0" w:color="auto"/>
          </w:divBdr>
        </w:div>
        <w:div w:id="312873558">
          <w:marLeft w:val="547"/>
          <w:marRight w:val="0"/>
          <w:marTop w:val="0"/>
          <w:marBottom w:val="0"/>
          <w:divBdr>
            <w:top w:val="none" w:sz="0" w:space="0" w:color="auto"/>
            <w:left w:val="none" w:sz="0" w:space="0" w:color="auto"/>
            <w:bottom w:val="none" w:sz="0" w:space="0" w:color="auto"/>
            <w:right w:val="none" w:sz="0" w:space="0" w:color="auto"/>
          </w:divBdr>
        </w:div>
      </w:divsChild>
    </w:div>
    <w:div w:id="76369058">
      <w:bodyDiv w:val="1"/>
      <w:marLeft w:val="0"/>
      <w:marRight w:val="0"/>
      <w:marTop w:val="0"/>
      <w:marBottom w:val="0"/>
      <w:divBdr>
        <w:top w:val="none" w:sz="0" w:space="0" w:color="auto"/>
        <w:left w:val="none" w:sz="0" w:space="0" w:color="auto"/>
        <w:bottom w:val="none" w:sz="0" w:space="0" w:color="auto"/>
        <w:right w:val="none" w:sz="0" w:space="0" w:color="auto"/>
      </w:divBdr>
    </w:div>
    <w:div w:id="130367757">
      <w:bodyDiv w:val="1"/>
      <w:marLeft w:val="0"/>
      <w:marRight w:val="0"/>
      <w:marTop w:val="0"/>
      <w:marBottom w:val="0"/>
      <w:divBdr>
        <w:top w:val="none" w:sz="0" w:space="0" w:color="auto"/>
        <w:left w:val="none" w:sz="0" w:space="0" w:color="auto"/>
        <w:bottom w:val="none" w:sz="0" w:space="0" w:color="auto"/>
        <w:right w:val="none" w:sz="0" w:space="0" w:color="auto"/>
      </w:divBdr>
    </w:div>
    <w:div w:id="146871855">
      <w:bodyDiv w:val="1"/>
      <w:marLeft w:val="0"/>
      <w:marRight w:val="0"/>
      <w:marTop w:val="0"/>
      <w:marBottom w:val="0"/>
      <w:divBdr>
        <w:top w:val="none" w:sz="0" w:space="0" w:color="auto"/>
        <w:left w:val="none" w:sz="0" w:space="0" w:color="auto"/>
        <w:bottom w:val="none" w:sz="0" w:space="0" w:color="auto"/>
        <w:right w:val="none" w:sz="0" w:space="0" w:color="auto"/>
      </w:divBdr>
    </w:div>
    <w:div w:id="208106243">
      <w:bodyDiv w:val="1"/>
      <w:marLeft w:val="0"/>
      <w:marRight w:val="0"/>
      <w:marTop w:val="0"/>
      <w:marBottom w:val="0"/>
      <w:divBdr>
        <w:top w:val="none" w:sz="0" w:space="0" w:color="auto"/>
        <w:left w:val="none" w:sz="0" w:space="0" w:color="auto"/>
        <w:bottom w:val="none" w:sz="0" w:space="0" w:color="auto"/>
        <w:right w:val="none" w:sz="0" w:space="0" w:color="auto"/>
      </w:divBdr>
    </w:div>
    <w:div w:id="330716263">
      <w:bodyDiv w:val="1"/>
      <w:marLeft w:val="0"/>
      <w:marRight w:val="0"/>
      <w:marTop w:val="0"/>
      <w:marBottom w:val="0"/>
      <w:divBdr>
        <w:top w:val="none" w:sz="0" w:space="0" w:color="auto"/>
        <w:left w:val="none" w:sz="0" w:space="0" w:color="auto"/>
        <w:bottom w:val="none" w:sz="0" w:space="0" w:color="auto"/>
        <w:right w:val="none" w:sz="0" w:space="0" w:color="auto"/>
      </w:divBdr>
    </w:div>
    <w:div w:id="391151389">
      <w:bodyDiv w:val="1"/>
      <w:marLeft w:val="0"/>
      <w:marRight w:val="0"/>
      <w:marTop w:val="0"/>
      <w:marBottom w:val="0"/>
      <w:divBdr>
        <w:top w:val="none" w:sz="0" w:space="0" w:color="auto"/>
        <w:left w:val="none" w:sz="0" w:space="0" w:color="auto"/>
        <w:bottom w:val="none" w:sz="0" w:space="0" w:color="auto"/>
        <w:right w:val="none" w:sz="0" w:space="0" w:color="auto"/>
      </w:divBdr>
      <w:divsChild>
        <w:div w:id="449395035">
          <w:marLeft w:val="547"/>
          <w:marRight w:val="0"/>
          <w:marTop w:val="0"/>
          <w:marBottom w:val="0"/>
          <w:divBdr>
            <w:top w:val="none" w:sz="0" w:space="0" w:color="auto"/>
            <w:left w:val="none" w:sz="0" w:space="0" w:color="auto"/>
            <w:bottom w:val="none" w:sz="0" w:space="0" w:color="auto"/>
            <w:right w:val="none" w:sz="0" w:space="0" w:color="auto"/>
          </w:divBdr>
        </w:div>
        <w:div w:id="802506751">
          <w:marLeft w:val="547"/>
          <w:marRight w:val="0"/>
          <w:marTop w:val="0"/>
          <w:marBottom w:val="0"/>
          <w:divBdr>
            <w:top w:val="none" w:sz="0" w:space="0" w:color="auto"/>
            <w:left w:val="none" w:sz="0" w:space="0" w:color="auto"/>
            <w:bottom w:val="none" w:sz="0" w:space="0" w:color="auto"/>
            <w:right w:val="none" w:sz="0" w:space="0" w:color="auto"/>
          </w:divBdr>
        </w:div>
        <w:div w:id="310141054">
          <w:marLeft w:val="547"/>
          <w:marRight w:val="0"/>
          <w:marTop w:val="0"/>
          <w:marBottom w:val="0"/>
          <w:divBdr>
            <w:top w:val="none" w:sz="0" w:space="0" w:color="auto"/>
            <w:left w:val="none" w:sz="0" w:space="0" w:color="auto"/>
            <w:bottom w:val="none" w:sz="0" w:space="0" w:color="auto"/>
            <w:right w:val="none" w:sz="0" w:space="0" w:color="auto"/>
          </w:divBdr>
        </w:div>
        <w:div w:id="1398673893">
          <w:marLeft w:val="547"/>
          <w:marRight w:val="0"/>
          <w:marTop w:val="0"/>
          <w:marBottom w:val="0"/>
          <w:divBdr>
            <w:top w:val="none" w:sz="0" w:space="0" w:color="auto"/>
            <w:left w:val="none" w:sz="0" w:space="0" w:color="auto"/>
            <w:bottom w:val="none" w:sz="0" w:space="0" w:color="auto"/>
            <w:right w:val="none" w:sz="0" w:space="0" w:color="auto"/>
          </w:divBdr>
        </w:div>
        <w:div w:id="172257957">
          <w:marLeft w:val="547"/>
          <w:marRight w:val="0"/>
          <w:marTop w:val="0"/>
          <w:marBottom w:val="0"/>
          <w:divBdr>
            <w:top w:val="none" w:sz="0" w:space="0" w:color="auto"/>
            <w:left w:val="none" w:sz="0" w:space="0" w:color="auto"/>
            <w:bottom w:val="none" w:sz="0" w:space="0" w:color="auto"/>
            <w:right w:val="none" w:sz="0" w:space="0" w:color="auto"/>
          </w:divBdr>
        </w:div>
        <w:div w:id="969166398">
          <w:marLeft w:val="547"/>
          <w:marRight w:val="0"/>
          <w:marTop w:val="0"/>
          <w:marBottom w:val="0"/>
          <w:divBdr>
            <w:top w:val="none" w:sz="0" w:space="0" w:color="auto"/>
            <w:left w:val="none" w:sz="0" w:space="0" w:color="auto"/>
            <w:bottom w:val="none" w:sz="0" w:space="0" w:color="auto"/>
            <w:right w:val="none" w:sz="0" w:space="0" w:color="auto"/>
          </w:divBdr>
        </w:div>
        <w:div w:id="1089614551">
          <w:marLeft w:val="547"/>
          <w:marRight w:val="0"/>
          <w:marTop w:val="0"/>
          <w:marBottom w:val="0"/>
          <w:divBdr>
            <w:top w:val="none" w:sz="0" w:space="0" w:color="auto"/>
            <w:left w:val="none" w:sz="0" w:space="0" w:color="auto"/>
            <w:bottom w:val="none" w:sz="0" w:space="0" w:color="auto"/>
            <w:right w:val="none" w:sz="0" w:space="0" w:color="auto"/>
          </w:divBdr>
        </w:div>
        <w:div w:id="1254901011">
          <w:marLeft w:val="547"/>
          <w:marRight w:val="0"/>
          <w:marTop w:val="0"/>
          <w:marBottom w:val="0"/>
          <w:divBdr>
            <w:top w:val="none" w:sz="0" w:space="0" w:color="auto"/>
            <w:left w:val="none" w:sz="0" w:space="0" w:color="auto"/>
            <w:bottom w:val="none" w:sz="0" w:space="0" w:color="auto"/>
            <w:right w:val="none" w:sz="0" w:space="0" w:color="auto"/>
          </w:divBdr>
        </w:div>
        <w:div w:id="1830319163">
          <w:marLeft w:val="547"/>
          <w:marRight w:val="0"/>
          <w:marTop w:val="0"/>
          <w:marBottom w:val="0"/>
          <w:divBdr>
            <w:top w:val="none" w:sz="0" w:space="0" w:color="auto"/>
            <w:left w:val="none" w:sz="0" w:space="0" w:color="auto"/>
            <w:bottom w:val="none" w:sz="0" w:space="0" w:color="auto"/>
            <w:right w:val="none" w:sz="0" w:space="0" w:color="auto"/>
          </w:divBdr>
        </w:div>
        <w:div w:id="1037505774">
          <w:marLeft w:val="547"/>
          <w:marRight w:val="0"/>
          <w:marTop w:val="0"/>
          <w:marBottom w:val="0"/>
          <w:divBdr>
            <w:top w:val="none" w:sz="0" w:space="0" w:color="auto"/>
            <w:left w:val="none" w:sz="0" w:space="0" w:color="auto"/>
            <w:bottom w:val="none" w:sz="0" w:space="0" w:color="auto"/>
            <w:right w:val="none" w:sz="0" w:space="0" w:color="auto"/>
          </w:divBdr>
        </w:div>
        <w:div w:id="61955565">
          <w:marLeft w:val="547"/>
          <w:marRight w:val="0"/>
          <w:marTop w:val="0"/>
          <w:marBottom w:val="0"/>
          <w:divBdr>
            <w:top w:val="none" w:sz="0" w:space="0" w:color="auto"/>
            <w:left w:val="none" w:sz="0" w:space="0" w:color="auto"/>
            <w:bottom w:val="none" w:sz="0" w:space="0" w:color="auto"/>
            <w:right w:val="none" w:sz="0" w:space="0" w:color="auto"/>
          </w:divBdr>
        </w:div>
        <w:div w:id="2120908086">
          <w:marLeft w:val="547"/>
          <w:marRight w:val="0"/>
          <w:marTop w:val="0"/>
          <w:marBottom w:val="0"/>
          <w:divBdr>
            <w:top w:val="none" w:sz="0" w:space="0" w:color="auto"/>
            <w:left w:val="none" w:sz="0" w:space="0" w:color="auto"/>
            <w:bottom w:val="none" w:sz="0" w:space="0" w:color="auto"/>
            <w:right w:val="none" w:sz="0" w:space="0" w:color="auto"/>
          </w:divBdr>
        </w:div>
      </w:divsChild>
    </w:div>
    <w:div w:id="416363347">
      <w:bodyDiv w:val="1"/>
      <w:marLeft w:val="0"/>
      <w:marRight w:val="0"/>
      <w:marTop w:val="0"/>
      <w:marBottom w:val="0"/>
      <w:divBdr>
        <w:top w:val="none" w:sz="0" w:space="0" w:color="auto"/>
        <w:left w:val="none" w:sz="0" w:space="0" w:color="auto"/>
        <w:bottom w:val="none" w:sz="0" w:space="0" w:color="auto"/>
        <w:right w:val="none" w:sz="0" w:space="0" w:color="auto"/>
      </w:divBdr>
      <w:divsChild>
        <w:div w:id="994530189">
          <w:marLeft w:val="547"/>
          <w:marRight w:val="0"/>
          <w:marTop w:val="106"/>
          <w:marBottom w:val="0"/>
          <w:divBdr>
            <w:top w:val="none" w:sz="0" w:space="0" w:color="auto"/>
            <w:left w:val="none" w:sz="0" w:space="0" w:color="auto"/>
            <w:bottom w:val="none" w:sz="0" w:space="0" w:color="auto"/>
            <w:right w:val="none" w:sz="0" w:space="0" w:color="auto"/>
          </w:divBdr>
        </w:div>
        <w:div w:id="1464620022">
          <w:marLeft w:val="547"/>
          <w:marRight w:val="0"/>
          <w:marTop w:val="106"/>
          <w:marBottom w:val="0"/>
          <w:divBdr>
            <w:top w:val="none" w:sz="0" w:space="0" w:color="auto"/>
            <w:left w:val="none" w:sz="0" w:space="0" w:color="auto"/>
            <w:bottom w:val="none" w:sz="0" w:space="0" w:color="auto"/>
            <w:right w:val="none" w:sz="0" w:space="0" w:color="auto"/>
          </w:divBdr>
        </w:div>
        <w:div w:id="1047334109">
          <w:marLeft w:val="806"/>
          <w:marRight w:val="0"/>
          <w:marTop w:val="106"/>
          <w:marBottom w:val="0"/>
          <w:divBdr>
            <w:top w:val="none" w:sz="0" w:space="0" w:color="auto"/>
            <w:left w:val="none" w:sz="0" w:space="0" w:color="auto"/>
            <w:bottom w:val="none" w:sz="0" w:space="0" w:color="auto"/>
            <w:right w:val="none" w:sz="0" w:space="0" w:color="auto"/>
          </w:divBdr>
        </w:div>
        <w:div w:id="683165811">
          <w:marLeft w:val="806"/>
          <w:marRight w:val="0"/>
          <w:marTop w:val="106"/>
          <w:marBottom w:val="0"/>
          <w:divBdr>
            <w:top w:val="none" w:sz="0" w:space="0" w:color="auto"/>
            <w:left w:val="none" w:sz="0" w:space="0" w:color="auto"/>
            <w:bottom w:val="none" w:sz="0" w:space="0" w:color="auto"/>
            <w:right w:val="none" w:sz="0" w:space="0" w:color="auto"/>
          </w:divBdr>
        </w:div>
        <w:div w:id="110705375">
          <w:marLeft w:val="806"/>
          <w:marRight w:val="0"/>
          <w:marTop w:val="106"/>
          <w:marBottom w:val="0"/>
          <w:divBdr>
            <w:top w:val="none" w:sz="0" w:space="0" w:color="auto"/>
            <w:left w:val="none" w:sz="0" w:space="0" w:color="auto"/>
            <w:bottom w:val="none" w:sz="0" w:space="0" w:color="auto"/>
            <w:right w:val="none" w:sz="0" w:space="0" w:color="auto"/>
          </w:divBdr>
        </w:div>
      </w:divsChild>
    </w:div>
    <w:div w:id="460928938">
      <w:bodyDiv w:val="1"/>
      <w:marLeft w:val="0"/>
      <w:marRight w:val="0"/>
      <w:marTop w:val="0"/>
      <w:marBottom w:val="0"/>
      <w:divBdr>
        <w:top w:val="none" w:sz="0" w:space="0" w:color="auto"/>
        <w:left w:val="none" w:sz="0" w:space="0" w:color="auto"/>
        <w:bottom w:val="none" w:sz="0" w:space="0" w:color="auto"/>
        <w:right w:val="none" w:sz="0" w:space="0" w:color="auto"/>
      </w:divBdr>
      <w:divsChild>
        <w:div w:id="413475574">
          <w:marLeft w:val="547"/>
          <w:marRight w:val="0"/>
          <w:marTop w:val="0"/>
          <w:marBottom w:val="0"/>
          <w:divBdr>
            <w:top w:val="none" w:sz="0" w:space="0" w:color="auto"/>
            <w:left w:val="none" w:sz="0" w:space="0" w:color="auto"/>
            <w:bottom w:val="none" w:sz="0" w:space="0" w:color="auto"/>
            <w:right w:val="none" w:sz="0" w:space="0" w:color="auto"/>
          </w:divBdr>
        </w:div>
        <w:div w:id="914555061">
          <w:marLeft w:val="547"/>
          <w:marRight w:val="0"/>
          <w:marTop w:val="0"/>
          <w:marBottom w:val="0"/>
          <w:divBdr>
            <w:top w:val="none" w:sz="0" w:space="0" w:color="auto"/>
            <w:left w:val="none" w:sz="0" w:space="0" w:color="auto"/>
            <w:bottom w:val="none" w:sz="0" w:space="0" w:color="auto"/>
            <w:right w:val="none" w:sz="0" w:space="0" w:color="auto"/>
          </w:divBdr>
        </w:div>
        <w:div w:id="1948152926">
          <w:marLeft w:val="547"/>
          <w:marRight w:val="0"/>
          <w:marTop w:val="0"/>
          <w:marBottom w:val="0"/>
          <w:divBdr>
            <w:top w:val="none" w:sz="0" w:space="0" w:color="auto"/>
            <w:left w:val="none" w:sz="0" w:space="0" w:color="auto"/>
            <w:bottom w:val="none" w:sz="0" w:space="0" w:color="auto"/>
            <w:right w:val="none" w:sz="0" w:space="0" w:color="auto"/>
          </w:divBdr>
        </w:div>
        <w:div w:id="1783762041">
          <w:marLeft w:val="547"/>
          <w:marRight w:val="0"/>
          <w:marTop w:val="0"/>
          <w:marBottom w:val="0"/>
          <w:divBdr>
            <w:top w:val="none" w:sz="0" w:space="0" w:color="auto"/>
            <w:left w:val="none" w:sz="0" w:space="0" w:color="auto"/>
            <w:bottom w:val="none" w:sz="0" w:space="0" w:color="auto"/>
            <w:right w:val="none" w:sz="0" w:space="0" w:color="auto"/>
          </w:divBdr>
        </w:div>
      </w:divsChild>
    </w:div>
    <w:div w:id="468403523">
      <w:bodyDiv w:val="1"/>
      <w:marLeft w:val="0"/>
      <w:marRight w:val="0"/>
      <w:marTop w:val="0"/>
      <w:marBottom w:val="0"/>
      <w:divBdr>
        <w:top w:val="none" w:sz="0" w:space="0" w:color="auto"/>
        <w:left w:val="none" w:sz="0" w:space="0" w:color="auto"/>
        <w:bottom w:val="none" w:sz="0" w:space="0" w:color="auto"/>
        <w:right w:val="none" w:sz="0" w:space="0" w:color="auto"/>
      </w:divBdr>
    </w:div>
    <w:div w:id="608704534">
      <w:bodyDiv w:val="1"/>
      <w:marLeft w:val="0"/>
      <w:marRight w:val="0"/>
      <w:marTop w:val="0"/>
      <w:marBottom w:val="0"/>
      <w:divBdr>
        <w:top w:val="none" w:sz="0" w:space="0" w:color="auto"/>
        <w:left w:val="none" w:sz="0" w:space="0" w:color="auto"/>
        <w:bottom w:val="none" w:sz="0" w:space="0" w:color="auto"/>
        <w:right w:val="none" w:sz="0" w:space="0" w:color="auto"/>
      </w:divBdr>
      <w:divsChild>
        <w:div w:id="1259019887">
          <w:marLeft w:val="288"/>
          <w:marRight w:val="0"/>
          <w:marTop w:val="0"/>
          <w:marBottom w:val="0"/>
          <w:divBdr>
            <w:top w:val="none" w:sz="0" w:space="0" w:color="auto"/>
            <w:left w:val="none" w:sz="0" w:space="0" w:color="auto"/>
            <w:bottom w:val="none" w:sz="0" w:space="0" w:color="auto"/>
            <w:right w:val="none" w:sz="0" w:space="0" w:color="auto"/>
          </w:divBdr>
        </w:div>
        <w:div w:id="551506894">
          <w:marLeft w:val="288"/>
          <w:marRight w:val="0"/>
          <w:marTop w:val="0"/>
          <w:marBottom w:val="0"/>
          <w:divBdr>
            <w:top w:val="none" w:sz="0" w:space="0" w:color="auto"/>
            <w:left w:val="none" w:sz="0" w:space="0" w:color="auto"/>
            <w:bottom w:val="none" w:sz="0" w:space="0" w:color="auto"/>
            <w:right w:val="none" w:sz="0" w:space="0" w:color="auto"/>
          </w:divBdr>
        </w:div>
      </w:divsChild>
    </w:div>
    <w:div w:id="641354264">
      <w:bodyDiv w:val="1"/>
      <w:marLeft w:val="0"/>
      <w:marRight w:val="0"/>
      <w:marTop w:val="0"/>
      <w:marBottom w:val="0"/>
      <w:divBdr>
        <w:top w:val="none" w:sz="0" w:space="0" w:color="auto"/>
        <w:left w:val="none" w:sz="0" w:space="0" w:color="auto"/>
        <w:bottom w:val="none" w:sz="0" w:space="0" w:color="auto"/>
        <w:right w:val="none" w:sz="0" w:space="0" w:color="auto"/>
      </w:divBdr>
    </w:div>
    <w:div w:id="665936255">
      <w:bodyDiv w:val="1"/>
      <w:marLeft w:val="0"/>
      <w:marRight w:val="0"/>
      <w:marTop w:val="0"/>
      <w:marBottom w:val="0"/>
      <w:divBdr>
        <w:top w:val="none" w:sz="0" w:space="0" w:color="auto"/>
        <w:left w:val="none" w:sz="0" w:space="0" w:color="auto"/>
        <w:bottom w:val="none" w:sz="0" w:space="0" w:color="auto"/>
        <w:right w:val="none" w:sz="0" w:space="0" w:color="auto"/>
      </w:divBdr>
    </w:div>
    <w:div w:id="826945501">
      <w:bodyDiv w:val="1"/>
      <w:marLeft w:val="0"/>
      <w:marRight w:val="0"/>
      <w:marTop w:val="0"/>
      <w:marBottom w:val="0"/>
      <w:divBdr>
        <w:top w:val="none" w:sz="0" w:space="0" w:color="auto"/>
        <w:left w:val="none" w:sz="0" w:space="0" w:color="auto"/>
        <w:bottom w:val="none" w:sz="0" w:space="0" w:color="auto"/>
        <w:right w:val="none" w:sz="0" w:space="0" w:color="auto"/>
      </w:divBdr>
    </w:div>
    <w:div w:id="913321695">
      <w:bodyDiv w:val="1"/>
      <w:marLeft w:val="0"/>
      <w:marRight w:val="0"/>
      <w:marTop w:val="0"/>
      <w:marBottom w:val="0"/>
      <w:divBdr>
        <w:top w:val="none" w:sz="0" w:space="0" w:color="auto"/>
        <w:left w:val="none" w:sz="0" w:space="0" w:color="auto"/>
        <w:bottom w:val="none" w:sz="0" w:space="0" w:color="auto"/>
        <w:right w:val="none" w:sz="0" w:space="0" w:color="auto"/>
      </w:divBdr>
    </w:div>
    <w:div w:id="969550269">
      <w:bodyDiv w:val="1"/>
      <w:marLeft w:val="0"/>
      <w:marRight w:val="0"/>
      <w:marTop w:val="0"/>
      <w:marBottom w:val="0"/>
      <w:divBdr>
        <w:top w:val="none" w:sz="0" w:space="0" w:color="auto"/>
        <w:left w:val="none" w:sz="0" w:space="0" w:color="auto"/>
        <w:bottom w:val="none" w:sz="0" w:space="0" w:color="auto"/>
        <w:right w:val="none" w:sz="0" w:space="0" w:color="auto"/>
      </w:divBdr>
    </w:div>
    <w:div w:id="971061425">
      <w:bodyDiv w:val="1"/>
      <w:marLeft w:val="0"/>
      <w:marRight w:val="0"/>
      <w:marTop w:val="0"/>
      <w:marBottom w:val="0"/>
      <w:divBdr>
        <w:top w:val="none" w:sz="0" w:space="0" w:color="auto"/>
        <w:left w:val="none" w:sz="0" w:space="0" w:color="auto"/>
        <w:bottom w:val="none" w:sz="0" w:space="0" w:color="auto"/>
        <w:right w:val="none" w:sz="0" w:space="0" w:color="auto"/>
      </w:divBdr>
      <w:divsChild>
        <w:div w:id="1574046382">
          <w:marLeft w:val="547"/>
          <w:marRight w:val="0"/>
          <w:marTop w:val="0"/>
          <w:marBottom w:val="0"/>
          <w:divBdr>
            <w:top w:val="none" w:sz="0" w:space="0" w:color="auto"/>
            <w:left w:val="none" w:sz="0" w:space="0" w:color="auto"/>
            <w:bottom w:val="none" w:sz="0" w:space="0" w:color="auto"/>
            <w:right w:val="none" w:sz="0" w:space="0" w:color="auto"/>
          </w:divBdr>
        </w:div>
        <w:div w:id="769393477">
          <w:marLeft w:val="547"/>
          <w:marRight w:val="0"/>
          <w:marTop w:val="0"/>
          <w:marBottom w:val="0"/>
          <w:divBdr>
            <w:top w:val="none" w:sz="0" w:space="0" w:color="auto"/>
            <w:left w:val="none" w:sz="0" w:space="0" w:color="auto"/>
            <w:bottom w:val="none" w:sz="0" w:space="0" w:color="auto"/>
            <w:right w:val="none" w:sz="0" w:space="0" w:color="auto"/>
          </w:divBdr>
        </w:div>
        <w:div w:id="1314213761">
          <w:marLeft w:val="547"/>
          <w:marRight w:val="0"/>
          <w:marTop w:val="0"/>
          <w:marBottom w:val="0"/>
          <w:divBdr>
            <w:top w:val="none" w:sz="0" w:space="0" w:color="auto"/>
            <w:left w:val="none" w:sz="0" w:space="0" w:color="auto"/>
            <w:bottom w:val="none" w:sz="0" w:space="0" w:color="auto"/>
            <w:right w:val="none" w:sz="0" w:space="0" w:color="auto"/>
          </w:divBdr>
        </w:div>
      </w:divsChild>
    </w:div>
    <w:div w:id="980574627">
      <w:bodyDiv w:val="1"/>
      <w:marLeft w:val="0"/>
      <w:marRight w:val="0"/>
      <w:marTop w:val="0"/>
      <w:marBottom w:val="0"/>
      <w:divBdr>
        <w:top w:val="none" w:sz="0" w:space="0" w:color="auto"/>
        <w:left w:val="none" w:sz="0" w:space="0" w:color="auto"/>
        <w:bottom w:val="none" w:sz="0" w:space="0" w:color="auto"/>
        <w:right w:val="none" w:sz="0" w:space="0" w:color="auto"/>
      </w:divBdr>
    </w:div>
    <w:div w:id="995307778">
      <w:bodyDiv w:val="1"/>
      <w:marLeft w:val="0"/>
      <w:marRight w:val="0"/>
      <w:marTop w:val="0"/>
      <w:marBottom w:val="0"/>
      <w:divBdr>
        <w:top w:val="none" w:sz="0" w:space="0" w:color="auto"/>
        <w:left w:val="none" w:sz="0" w:space="0" w:color="auto"/>
        <w:bottom w:val="none" w:sz="0" w:space="0" w:color="auto"/>
        <w:right w:val="none" w:sz="0" w:space="0" w:color="auto"/>
      </w:divBdr>
    </w:div>
    <w:div w:id="998922011">
      <w:bodyDiv w:val="1"/>
      <w:marLeft w:val="0"/>
      <w:marRight w:val="0"/>
      <w:marTop w:val="0"/>
      <w:marBottom w:val="0"/>
      <w:divBdr>
        <w:top w:val="none" w:sz="0" w:space="0" w:color="auto"/>
        <w:left w:val="none" w:sz="0" w:space="0" w:color="auto"/>
        <w:bottom w:val="none" w:sz="0" w:space="0" w:color="auto"/>
        <w:right w:val="none" w:sz="0" w:space="0" w:color="auto"/>
      </w:divBdr>
    </w:div>
    <w:div w:id="1092747830">
      <w:bodyDiv w:val="1"/>
      <w:marLeft w:val="0"/>
      <w:marRight w:val="0"/>
      <w:marTop w:val="0"/>
      <w:marBottom w:val="0"/>
      <w:divBdr>
        <w:top w:val="none" w:sz="0" w:space="0" w:color="auto"/>
        <w:left w:val="none" w:sz="0" w:space="0" w:color="auto"/>
        <w:bottom w:val="none" w:sz="0" w:space="0" w:color="auto"/>
        <w:right w:val="none" w:sz="0" w:space="0" w:color="auto"/>
      </w:divBdr>
    </w:div>
    <w:div w:id="1102604740">
      <w:bodyDiv w:val="1"/>
      <w:marLeft w:val="0"/>
      <w:marRight w:val="0"/>
      <w:marTop w:val="0"/>
      <w:marBottom w:val="0"/>
      <w:divBdr>
        <w:top w:val="none" w:sz="0" w:space="0" w:color="auto"/>
        <w:left w:val="none" w:sz="0" w:space="0" w:color="auto"/>
        <w:bottom w:val="none" w:sz="0" w:space="0" w:color="auto"/>
        <w:right w:val="none" w:sz="0" w:space="0" w:color="auto"/>
      </w:divBdr>
    </w:div>
    <w:div w:id="1144355415">
      <w:bodyDiv w:val="1"/>
      <w:marLeft w:val="0"/>
      <w:marRight w:val="0"/>
      <w:marTop w:val="0"/>
      <w:marBottom w:val="0"/>
      <w:divBdr>
        <w:top w:val="none" w:sz="0" w:space="0" w:color="auto"/>
        <w:left w:val="none" w:sz="0" w:space="0" w:color="auto"/>
        <w:bottom w:val="none" w:sz="0" w:space="0" w:color="auto"/>
        <w:right w:val="none" w:sz="0" w:space="0" w:color="auto"/>
      </w:divBdr>
    </w:div>
    <w:div w:id="1154758509">
      <w:bodyDiv w:val="1"/>
      <w:marLeft w:val="0"/>
      <w:marRight w:val="0"/>
      <w:marTop w:val="0"/>
      <w:marBottom w:val="0"/>
      <w:divBdr>
        <w:top w:val="none" w:sz="0" w:space="0" w:color="auto"/>
        <w:left w:val="none" w:sz="0" w:space="0" w:color="auto"/>
        <w:bottom w:val="none" w:sz="0" w:space="0" w:color="auto"/>
        <w:right w:val="none" w:sz="0" w:space="0" w:color="auto"/>
      </w:divBdr>
      <w:divsChild>
        <w:div w:id="1050500214">
          <w:marLeft w:val="288"/>
          <w:marRight w:val="0"/>
          <w:marTop w:val="0"/>
          <w:marBottom w:val="0"/>
          <w:divBdr>
            <w:top w:val="none" w:sz="0" w:space="0" w:color="auto"/>
            <w:left w:val="none" w:sz="0" w:space="0" w:color="auto"/>
            <w:bottom w:val="none" w:sz="0" w:space="0" w:color="auto"/>
            <w:right w:val="none" w:sz="0" w:space="0" w:color="auto"/>
          </w:divBdr>
        </w:div>
      </w:divsChild>
    </w:div>
    <w:div w:id="1174493510">
      <w:bodyDiv w:val="1"/>
      <w:marLeft w:val="0"/>
      <w:marRight w:val="0"/>
      <w:marTop w:val="0"/>
      <w:marBottom w:val="0"/>
      <w:divBdr>
        <w:top w:val="none" w:sz="0" w:space="0" w:color="auto"/>
        <w:left w:val="none" w:sz="0" w:space="0" w:color="auto"/>
        <w:bottom w:val="none" w:sz="0" w:space="0" w:color="auto"/>
        <w:right w:val="none" w:sz="0" w:space="0" w:color="auto"/>
      </w:divBdr>
      <w:divsChild>
        <w:div w:id="1125387039">
          <w:marLeft w:val="547"/>
          <w:marRight w:val="0"/>
          <w:marTop w:val="0"/>
          <w:marBottom w:val="0"/>
          <w:divBdr>
            <w:top w:val="none" w:sz="0" w:space="0" w:color="auto"/>
            <w:left w:val="none" w:sz="0" w:space="0" w:color="auto"/>
            <w:bottom w:val="none" w:sz="0" w:space="0" w:color="auto"/>
            <w:right w:val="none" w:sz="0" w:space="0" w:color="auto"/>
          </w:divBdr>
        </w:div>
        <w:div w:id="1977296299">
          <w:marLeft w:val="547"/>
          <w:marRight w:val="0"/>
          <w:marTop w:val="0"/>
          <w:marBottom w:val="0"/>
          <w:divBdr>
            <w:top w:val="none" w:sz="0" w:space="0" w:color="auto"/>
            <w:left w:val="none" w:sz="0" w:space="0" w:color="auto"/>
            <w:bottom w:val="none" w:sz="0" w:space="0" w:color="auto"/>
            <w:right w:val="none" w:sz="0" w:space="0" w:color="auto"/>
          </w:divBdr>
        </w:div>
        <w:div w:id="2066904705">
          <w:marLeft w:val="547"/>
          <w:marRight w:val="0"/>
          <w:marTop w:val="0"/>
          <w:marBottom w:val="0"/>
          <w:divBdr>
            <w:top w:val="none" w:sz="0" w:space="0" w:color="auto"/>
            <w:left w:val="none" w:sz="0" w:space="0" w:color="auto"/>
            <w:bottom w:val="none" w:sz="0" w:space="0" w:color="auto"/>
            <w:right w:val="none" w:sz="0" w:space="0" w:color="auto"/>
          </w:divBdr>
        </w:div>
        <w:div w:id="489179606">
          <w:marLeft w:val="547"/>
          <w:marRight w:val="0"/>
          <w:marTop w:val="0"/>
          <w:marBottom w:val="0"/>
          <w:divBdr>
            <w:top w:val="none" w:sz="0" w:space="0" w:color="auto"/>
            <w:left w:val="none" w:sz="0" w:space="0" w:color="auto"/>
            <w:bottom w:val="none" w:sz="0" w:space="0" w:color="auto"/>
            <w:right w:val="none" w:sz="0" w:space="0" w:color="auto"/>
          </w:divBdr>
        </w:div>
        <w:div w:id="1965960737">
          <w:marLeft w:val="547"/>
          <w:marRight w:val="0"/>
          <w:marTop w:val="0"/>
          <w:marBottom w:val="0"/>
          <w:divBdr>
            <w:top w:val="none" w:sz="0" w:space="0" w:color="auto"/>
            <w:left w:val="none" w:sz="0" w:space="0" w:color="auto"/>
            <w:bottom w:val="none" w:sz="0" w:space="0" w:color="auto"/>
            <w:right w:val="none" w:sz="0" w:space="0" w:color="auto"/>
          </w:divBdr>
        </w:div>
        <w:div w:id="1667853668">
          <w:marLeft w:val="547"/>
          <w:marRight w:val="0"/>
          <w:marTop w:val="0"/>
          <w:marBottom w:val="0"/>
          <w:divBdr>
            <w:top w:val="none" w:sz="0" w:space="0" w:color="auto"/>
            <w:left w:val="none" w:sz="0" w:space="0" w:color="auto"/>
            <w:bottom w:val="none" w:sz="0" w:space="0" w:color="auto"/>
            <w:right w:val="none" w:sz="0" w:space="0" w:color="auto"/>
          </w:divBdr>
        </w:div>
      </w:divsChild>
    </w:div>
    <w:div w:id="1177305896">
      <w:bodyDiv w:val="1"/>
      <w:marLeft w:val="0"/>
      <w:marRight w:val="0"/>
      <w:marTop w:val="0"/>
      <w:marBottom w:val="0"/>
      <w:divBdr>
        <w:top w:val="none" w:sz="0" w:space="0" w:color="auto"/>
        <w:left w:val="none" w:sz="0" w:space="0" w:color="auto"/>
        <w:bottom w:val="none" w:sz="0" w:space="0" w:color="auto"/>
        <w:right w:val="none" w:sz="0" w:space="0" w:color="auto"/>
      </w:divBdr>
      <w:divsChild>
        <w:div w:id="794297073">
          <w:marLeft w:val="288"/>
          <w:marRight w:val="0"/>
          <w:marTop w:val="0"/>
          <w:marBottom w:val="0"/>
          <w:divBdr>
            <w:top w:val="none" w:sz="0" w:space="0" w:color="auto"/>
            <w:left w:val="none" w:sz="0" w:space="0" w:color="auto"/>
            <w:bottom w:val="none" w:sz="0" w:space="0" w:color="auto"/>
            <w:right w:val="none" w:sz="0" w:space="0" w:color="auto"/>
          </w:divBdr>
        </w:div>
        <w:div w:id="616251431">
          <w:marLeft w:val="288"/>
          <w:marRight w:val="0"/>
          <w:marTop w:val="0"/>
          <w:marBottom w:val="0"/>
          <w:divBdr>
            <w:top w:val="none" w:sz="0" w:space="0" w:color="auto"/>
            <w:left w:val="none" w:sz="0" w:space="0" w:color="auto"/>
            <w:bottom w:val="none" w:sz="0" w:space="0" w:color="auto"/>
            <w:right w:val="none" w:sz="0" w:space="0" w:color="auto"/>
          </w:divBdr>
        </w:div>
      </w:divsChild>
    </w:div>
    <w:div w:id="1230573917">
      <w:bodyDiv w:val="1"/>
      <w:marLeft w:val="0"/>
      <w:marRight w:val="0"/>
      <w:marTop w:val="0"/>
      <w:marBottom w:val="0"/>
      <w:divBdr>
        <w:top w:val="none" w:sz="0" w:space="0" w:color="auto"/>
        <w:left w:val="none" w:sz="0" w:space="0" w:color="auto"/>
        <w:bottom w:val="none" w:sz="0" w:space="0" w:color="auto"/>
        <w:right w:val="none" w:sz="0" w:space="0" w:color="auto"/>
      </w:divBdr>
      <w:divsChild>
        <w:div w:id="296909497">
          <w:marLeft w:val="288"/>
          <w:marRight w:val="0"/>
          <w:marTop w:val="0"/>
          <w:marBottom w:val="0"/>
          <w:divBdr>
            <w:top w:val="none" w:sz="0" w:space="0" w:color="auto"/>
            <w:left w:val="none" w:sz="0" w:space="0" w:color="auto"/>
            <w:bottom w:val="none" w:sz="0" w:space="0" w:color="auto"/>
            <w:right w:val="none" w:sz="0" w:space="0" w:color="auto"/>
          </w:divBdr>
        </w:div>
      </w:divsChild>
    </w:div>
    <w:div w:id="1234044016">
      <w:bodyDiv w:val="1"/>
      <w:marLeft w:val="0"/>
      <w:marRight w:val="0"/>
      <w:marTop w:val="0"/>
      <w:marBottom w:val="0"/>
      <w:divBdr>
        <w:top w:val="none" w:sz="0" w:space="0" w:color="auto"/>
        <w:left w:val="none" w:sz="0" w:space="0" w:color="auto"/>
        <w:bottom w:val="none" w:sz="0" w:space="0" w:color="auto"/>
        <w:right w:val="none" w:sz="0" w:space="0" w:color="auto"/>
      </w:divBdr>
      <w:divsChild>
        <w:div w:id="1649286436">
          <w:marLeft w:val="547"/>
          <w:marRight w:val="0"/>
          <w:marTop w:val="0"/>
          <w:marBottom w:val="0"/>
          <w:divBdr>
            <w:top w:val="none" w:sz="0" w:space="0" w:color="auto"/>
            <w:left w:val="none" w:sz="0" w:space="0" w:color="auto"/>
            <w:bottom w:val="none" w:sz="0" w:space="0" w:color="auto"/>
            <w:right w:val="none" w:sz="0" w:space="0" w:color="auto"/>
          </w:divBdr>
        </w:div>
        <w:div w:id="674066775">
          <w:marLeft w:val="547"/>
          <w:marRight w:val="0"/>
          <w:marTop w:val="0"/>
          <w:marBottom w:val="0"/>
          <w:divBdr>
            <w:top w:val="none" w:sz="0" w:space="0" w:color="auto"/>
            <w:left w:val="none" w:sz="0" w:space="0" w:color="auto"/>
            <w:bottom w:val="none" w:sz="0" w:space="0" w:color="auto"/>
            <w:right w:val="none" w:sz="0" w:space="0" w:color="auto"/>
          </w:divBdr>
        </w:div>
      </w:divsChild>
    </w:div>
    <w:div w:id="1236164462">
      <w:bodyDiv w:val="1"/>
      <w:marLeft w:val="0"/>
      <w:marRight w:val="0"/>
      <w:marTop w:val="0"/>
      <w:marBottom w:val="0"/>
      <w:divBdr>
        <w:top w:val="none" w:sz="0" w:space="0" w:color="auto"/>
        <w:left w:val="none" w:sz="0" w:space="0" w:color="auto"/>
        <w:bottom w:val="none" w:sz="0" w:space="0" w:color="auto"/>
        <w:right w:val="none" w:sz="0" w:space="0" w:color="auto"/>
      </w:divBdr>
    </w:div>
    <w:div w:id="1253708510">
      <w:bodyDiv w:val="1"/>
      <w:marLeft w:val="0"/>
      <w:marRight w:val="0"/>
      <w:marTop w:val="0"/>
      <w:marBottom w:val="0"/>
      <w:divBdr>
        <w:top w:val="none" w:sz="0" w:space="0" w:color="auto"/>
        <w:left w:val="none" w:sz="0" w:space="0" w:color="auto"/>
        <w:bottom w:val="none" w:sz="0" w:space="0" w:color="auto"/>
        <w:right w:val="none" w:sz="0" w:space="0" w:color="auto"/>
      </w:divBdr>
    </w:div>
    <w:div w:id="1269967992">
      <w:bodyDiv w:val="1"/>
      <w:marLeft w:val="0"/>
      <w:marRight w:val="0"/>
      <w:marTop w:val="0"/>
      <w:marBottom w:val="0"/>
      <w:divBdr>
        <w:top w:val="none" w:sz="0" w:space="0" w:color="auto"/>
        <w:left w:val="none" w:sz="0" w:space="0" w:color="auto"/>
        <w:bottom w:val="none" w:sz="0" w:space="0" w:color="auto"/>
        <w:right w:val="none" w:sz="0" w:space="0" w:color="auto"/>
      </w:divBdr>
    </w:div>
    <w:div w:id="1278104235">
      <w:bodyDiv w:val="1"/>
      <w:marLeft w:val="0"/>
      <w:marRight w:val="0"/>
      <w:marTop w:val="0"/>
      <w:marBottom w:val="0"/>
      <w:divBdr>
        <w:top w:val="none" w:sz="0" w:space="0" w:color="auto"/>
        <w:left w:val="none" w:sz="0" w:space="0" w:color="auto"/>
        <w:bottom w:val="none" w:sz="0" w:space="0" w:color="auto"/>
        <w:right w:val="none" w:sz="0" w:space="0" w:color="auto"/>
      </w:divBdr>
    </w:div>
    <w:div w:id="1316035642">
      <w:bodyDiv w:val="1"/>
      <w:marLeft w:val="0"/>
      <w:marRight w:val="0"/>
      <w:marTop w:val="0"/>
      <w:marBottom w:val="0"/>
      <w:divBdr>
        <w:top w:val="none" w:sz="0" w:space="0" w:color="auto"/>
        <w:left w:val="none" w:sz="0" w:space="0" w:color="auto"/>
        <w:bottom w:val="none" w:sz="0" w:space="0" w:color="auto"/>
        <w:right w:val="none" w:sz="0" w:space="0" w:color="auto"/>
      </w:divBdr>
      <w:divsChild>
        <w:div w:id="1362432688">
          <w:marLeft w:val="547"/>
          <w:marRight w:val="0"/>
          <w:marTop w:val="0"/>
          <w:marBottom w:val="0"/>
          <w:divBdr>
            <w:top w:val="none" w:sz="0" w:space="0" w:color="auto"/>
            <w:left w:val="none" w:sz="0" w:space="0" w:color="auto"/>
            <w:bottom w:val="none" w:sz="0" w:space="0" w:color="auto"/>
            <w:right w:val="none" w:sz="0" w:space="0" w:color="auto"/>
          </w:divBdr>
        </w:div>
        <w:div w:id="1115515220">
          <w:marLeft w:val="547"/>
          <w:marRight w:val="0"/>
          <w:marTop w:val="0"/>
          <w:marBottom w:val="0"/>
          <w:divBdr>
            <w:top w:val="none" w:sz="0" w:space="0" w:color="auto"/>
            <w:left w:val="none" w:sz="0" w:space="0" w:color="auto"/>
            <w:bottom w:val="none" w:sz="0" w:space="0" w:color="auto"/>
            <w:right w:val="none" w:sz="0" w:space="0" w:color="auto"/>
          </w:divBdr>
        </w:div>
        <w:div w:id="313995230">
          <w:marLeft w:val="547"/>
          <w:marRight w:val="0"/>
          <w:marTop w:val="0"/>
          <w:marBottom w:val="0"/>
          <w:divBdr>
            <w:top w:val="none" w:sz="0" w:space="0" w:color="auto"/>
            <w:left w:val="none" w:sz="0" w:space="0" w:color="auto"/>
            <w:bottom w:val="none" w:sz="0" w:space="0" w:color="auto"/>
            <w:right w:val="none" w:sz="0" w:space="0" w:color="auto"/>
          </w:divBdr>
        </w:div>
        <w:div w:id="1893812492">
          <w:marLeft w:val="547"/>
          <w:marRight w:val="0"/>
          <w:marTop w:val="0"/>
          <w:marBottom w:val="0"/>
          <w:divBdr>
            <w:top w:val="none" w:sz="0" w:space="0" w:color="auto"/>
            <w:left w:val="none" w:sz="0" w:space="0" w:color="auto"/>
            <w:bottom w:val="none" w:sz="0" w:space="0" w:color="auto"/>
            <w:right w:val="none" w:sz="0" w:space="0" w:color="auto"/>
          </w:divBdr>
        </w:div>
        <w:div w:id="426659314">
          <w:marLeft w:val="547"/>
          <w:marRight w:val="0"/>
          <w:marTop w:val="0"/>
          <w:marBottom w:val="0"/>
          <w:divBdr>
            <w:top w:val="none" w:sz="0" w:space="0" w:color="auto"/>
            <w:left w:val="none" w:sz="0" w:space="0" w:color="auto"/>
            <w:bottom w:val="none" w:sz="0" w:space="0" w:color="auto"/>
            <w:right w:val="none" w:sz="0" w:space="0" w:color="auto"/>
          </w:divBdr>
        </w:div>
        <w:div w:id="520555067">
          <w:marLeft w:val="547"/>
          <w:marRight w:val="0"/>
          <w:marTop w:val="0"/>
          <w:marBottom w:val="0"/>
          <w:divBdr>
            <w:top w:val="none" w:sz="0" w:space="0" w:color="auto"/>
            <w:left w:val="none" w:sz="0" w:space="0" w:color="auto"/>
            <w:bottom w:val="none" w:sz="0" w:space="0" w:color="auto"/>
            <w:right w:val="none" w:sz="0" w:space="0" w:color="auto"/>
          </w:divBdr>
        </w:div>
        <w:div w:id="1837456016">
          <w:marLeft w:val="547"/>
          <w:marRight w:val="0"/>
          <w:marTop w:val="0"/>
          <w:marBottom w:val="0"/>
          <w:divBdr>
            <w:top w:val="none" w:sz="0" w:space="0" w:color="auto"/>
            <w:left w:val="none" w:sz="0" w:space="0" w:color="auto"/>
            <w:bottom w:val="none" w:sz="0" w:space="0" w:color="auto"/>
            <w:right w:val="none" w:sz="0" w:space="0" w:color="auto"/>
          </w:divBdr>
        </w:div>
        <w:div w:id="1924753577">
          <w:marLeft w:val="547"/>
          <w:marRight w:val="0"/>
          <w:marTop w:val="0"/>
          <w:marBottom w:val="0"/>
          <w:divBdr>
            <w:top w:val="none" w:sz="0" w:space="0" w:color="auto"/>
            <w:left w:val="none" w:sz="0" w:space="0" w:color="auto"/>
            <w:bottom w:val="none" w:sz="0" w:space="0" w:color="auto"/>
            <w:right w:val="none" w:sz="0" w:space="0" w:color="auto"/>
          </w:divBdr>
        </w:div>
        <w:div w:id="544147202">
          <w:marLeft w:val="547"/>
          <w:marRight w:val="0"/>
          <w:marTop w:val="0"/>
          <w:marBottom w:val="0"/>
          <w:divBdr>
            <w:top w:val="none" w:sz="0" w:space="0" w:color="auto"/>
            <w:left w:val="none" w:sz="0" w:space="0" w:color="auto"/>
            <w:bottom w:val="none" w:sz="0" w:space="0" w:color="auto"/>
            <w:right w:val="none" w:sz="0" w:space="0" w:color="auto"/>
          </w:divBdr>
        </w:div>
        <w:div w:id="1501430811">
          <w:marLeft w:val="547"/>
          <w:marRight w:val="0"/>
          <w:marTop w:val="0"/>
          <w:marBottom w:val="0"/>
          <w:divBdr>
            <w:top w:val="none" w:sz="0" w:space="0" w:color="auto"/>
            <w:left w:val="none" w:sz="0" w:space="0" w:color="auto"/>
            <w:bottom w:val="none" w:sz="0" w:space="0" w:color="auto"/>
            <w:right w:val="none" w:sz="0" w:space="0" w:color="auto"/>
          </w:divBdr>
        </w:div>
        <w:div w:id="1940286427">
          <w:marLeft w:val="547"/>
          <w:marRight w:val="0"/>
          <w:marTop w:val="0"/>
          <w:marBottom w:val="0"/>
          <w:divBdr>
            <w:top w:val="none" w:sz="0" w:space="0" w:color="auto"/>
            <w:left w:val="none" w:sz="0" w:space="0" w:color="auto"/>
            <w:bottom w:val="none" w:sz="0" w:space="0" w:color="auto"/>
            <w:right w:val="none" w:sz="0" w:space="0" w:color="auto"/>
          </w:divBdr>
        </w:div>
        <w:div w:id="268898614">
          <w:marLeft w:val="547"/>
          <w:marRight w:val="0"/>
          <w:marTop w:val="0"/>
          <w:marBottom w:val="0"/>
          <w:divBdr>
            <w:top w:val="none" w:sz="0" w:space="0" w:color="auto"/>
            <w:left w:val="none" w:sz="0" w:space="0" w:color="auto"/>
            <w:bottom w:val="none" w:sz="0" w:space="0" w:color="auto"/>
            <w:right w:val="none" w:sz="0" w:space="0" w:color="auto"/>
          </w:divBdr>
        </w:div>
      </w:divsChild>
    </w:div>
    <w:div w:id="1334144447">
      <w:bodyDiv w:val="1"/>
      <w:marLeft w:val="0"/>
      <w:marRight w:val="0"/>
      <w:marTop w:val="0"/>
      <w:marBottom w:val="0"/>
      <w:divBdr>
        <w:top w:val="none" w:sz="0" w:space="0" w:color="auto"/>
        <w:left w:val="none" w:sz="0" w:space="0" w:color="auto"/>
        <w:bottom w:val="none" w:sz="0" w:space="0" w:color="auto"/>
        <w:right w:val="none" w:sz="0" w:space="0" w:color="auto"/>
      </w:divBdr>
    </w:div>
    <w:div w:id="1371691351">
      <w:bodyDiv w:val="1"/>
      <w:marLeft w:val="0"/>
      <w:marRight w:val="0"/>
      <w:marTop w:val="0"/>
      <w:marBottom w:val="0"/>
      <w:divBdr>
        <w:top w:val="none" w:sz="0" w:space="0" w:color="auto"/>
        <w:left w:val="none" w:sz="0" w:space="0" w:color="auto"/>
        <w:bottom w:val="none" w:sz="0" w:space="0" w:color="auto"/>
        <w:right w:val="none" w:sz="0" w:space="0" w:color="auto"/>
      </w:divBdr>
    </w:div>
    <w:div w:id="1386562306">
      <w:bodyDiv w:val="1"/>
      <w:marLeft w:val="0"/>
      <w:marRight w:val="0"/>
      <w:marTop w:val="0"/>
      <w:marBottom w:val="0"/>
      <w:divBdr>
        <w:top w:val="none" w:sz="0" w:space="0" w:color="auto"/>
        <w:left w:val="none" w:sz="0" w:space="0" w:color="auto"/>
        <w:bottom w:val="none" w:sz="0" w:space="0" w:color="auto"/>
        <w:right w:val="none" w:sz="0" w:space="0" w:color="auto"/>
      </w:divBdr>
      <w:divsChild>
        <w:div w:id="427584736">
          <w:marLeft w:val="720"/>
          <w:marRight w:val="0"/>
          <w:marTop w:val="106"/>
          <w:marBottom w:val="0"/>
          <w:divBdr>
            <w:top w:val="none" w:sz="0" w:space="0" w:color="auto"/>
            <w:left w:val="none" w:sz="0" w:space="0" w:color="auto"/>
            <w:bottom w:val="none" w:sz="0" w:space="0" w:color="auto"/>
            <w:right w:val="none" w:sz="0" w:space="0" w:color="auto"/>
          </w:divBdr>
        </w:div>
        <w:div w:id="1162350010">
          <w:marLeft w:val="1267"/>
          <w:marRight w:val="0"/>
          <w:marTop w:val="106"/>
          <w:marBottom w:val="0"/>
          <w:divBdr>
            <w:top w:val="none" w:sz="0" w:space="0" w:color="auto"/>
            <w:left w:val="none" w:sz="0" w:space="0" w:color="auto"/>
            <w:bottom w:val="none" w:sz="0" w:space="0" w:color="auto"/>
            <w:right w:val="none" w:sz="0" w:space="0" w:color="auto"/>
          </w:divBdr>
        </w:div>
        <w:div w:id="2060397319">
          <w:marLeft w:val="1267"/>
          <w:marRight w:val="0"/>
          <w:marTop w:val="106"/>
          <w:marBottom w:val="0"/>
          <w:divBdr>
            <w:top w:val="none" w:sz="0" w:space="0" w:color="auto"/>
            <w:left w:val="none" w:sz="0" w:space="0" w:color="auto"/>
            <w:bottom w:val="none" w:sz="0" w:space="0" w:color="auto"/>
            <w:right w:val="none" w:sz="0" w:space="0" w:color="auto"/>
          </w:divBdr>
        </w:div>
        <w:div w:id="32729978">
          <w:marLeft w:val="1267"/>
          <w:marRight w:val="0"/>
          <w:marTop w:val="106"/>
          <w:marBottom w:val="0"/>
          <w:divBdr>
            <w:top w:val="none" w:sz="0" w:space="0" w:color="auto"/>
            <w:left w:val="none" w:sz="0" w:space="0" w:color="auto"/>
            <w:bottom w:val="none" w:sz="0" w:space="0" w:color="auto"/>
            <w:right w:val="none" w:sz="0" w:space="0" w:color="auto"/>
          </w:divBdr>
        </w:div>
        <w:div w:id="484201374">
          <w:marLeft w:val="720"/>
          <w:marRight w:val="0"/>
          <w:marTop w:val="106"/>
          <w:marBottom w:val="0"/>
          <w:divBdr>
            <w:top w:val="none" w:sz="0" w:space="0" w:color="auto"/>
            <w:left w:val="none" w:sz="0" w:space="0" w:color="auto"/>
            <w:bottom w:val="none" w:sz="0" w:space="0" w:color="auto"/>
            <w:right w:val="none" w:sz="0" w:space="0" w:color="auto"/>
          </w:divBdr>
        </w:div>
        <w:div w:id="927471181">
          <w:marLeft w:val="1267"/>
          <w:marRight w:val="0"/>
          <w:marTop w:val="106"/>
          <w:marBottom w:val="0"/>
          <w:divBdr>
            <w:top w:val="none" w:sz="0" w:space="0" w:color="auto"/>
            <w:left w:val="none" w:sz="0" w:space="0" w:color="auto"/>
            <w:bottom w:val="none" w:sz="0" w:space="0" w:color="auto"/>
            <w:right w:val="none" w:sz="0" w:space="0" w:color="auto"/>
          </w:divBdr>
        </w:div>
        <w:div w:id="929584816">
          <w:marLeft w:val="1267"/>
          <w:marRight w:val="0"/>
          <w:marTop w:val="106"/>
          <w:marBottom w:val="0"/>
          <w:divBdr>
            <w:top w:val="none" w:sz="0" w:space="0" w:color="auto"/>
            <w:left w:val="none" w:sz="0" w:space="0" w:color="auto"/>
            <w:bottom w:val="none" w:sz="0" w:space="0" w:color="auto"/>
            <w:right w:val="none" w:sz="0" w:space="0" w:color="auto"/>
          </w:divBdr>
        </w:div>
      </w:divsChild>
    </w:div>
    <w:div w:id="1409108117">
      <w:bodyDiv w:val="1"/>
      <w:marLeft w:val="0"/>
      <w:marRight w:val="0"/>
      <w:marTop w:val="0"/>
      <w:marBottom w:val="0"/>
      <w:divBdr>
        <w:top w:val="none" w:sz="0" w:space="0" w:color="auto"/>
        <w:left w:val="none" w:sz="0" w:space="0" w:color="auto"/>
        <w:bottom w:val="none" w:sz="0" w:space="0" w:color="auto"/>
        <w:right w:val="none" w:sz="0" w:space="0" w:color="auto"/>
      </w:divBdr>
    </w:div>
    <w:div w:id="1426271159">
      <w:bodyDiv w:val="1"/>
      <w:marLeft w:val="0"/>
      <w:marRight w:val="0"/>
      <w:marTop w:val="0"/>
      <w:marBottom w:val="0"/>
      <w:divBdr>
        <w:top w:val="none" w:sz="0" w:space="0" w:color="auto"/>
        <w:left w:val="none" w:sz="0" w:space="0" w:color="auto"/>
        <w:bottom w:val="none" w:sz="0" w:space="0" w:color="auto"/>
        <w:right w:val="none" w:sz="0" w:space="0" w:color="auto"/>
      </w:divBdr>
    </w:div>
    <w:div w:id="1597589016">
      <w:bodyDiv w:val="1"/>
      <w:marLeft w:val="0"/>
      <w:marRight w:val="0"/>
      <w:marTop w:val="0"/>
      <w:marBottom w:val="0"/>
      <w:divBdr>
        <w:top w:val="none" w:sz="0" w:space="0" w:color="auto"/>
        <w:left w:val="none" w:sz="0" w:space="0" w:color="auto"/>
        <w:bottom w:val="none" w:sz="0" w:space="0" w:color="auto"/>
        <w:right w:val="none" w:sz="0" w:space="0" w:color="auto"/>
      </w:divBdr>
    </w:div>
    <w:div w:id="1625040220">
      <w:bodyDiv w:val="1"/>
      <w:marLeft w:val="0"/>
      <w:marRight w:val="0"/>
      <w:marTop w:val="0"/>
      <w:marBottom w:val="0"/>
      <w:divBdr>
        <w:top w:val="none" w:sz="0" w:space="0" w:color="auto"/>
        <w:left w:val="none" w:sz="0" w:space="0" w:color="auto"/>
        <w:bottom w:val="none" w:sz="0" w:space="0" w:color="auto"/>
        <w:right w:val="none" w:sz="0" w:space="0" w:color="auto"/>
      </w:divBdr>
    </w:div>
    <w:div w:id="1785803357">
      <w:bodyDiv w:val="1"/>
      <w:marLeft w:val="0"/>
      <w:marRight w:val="0"/>
      <w:marTop w:val="0"/>
      <w:marBottom w:val="0"/>
      <w:divBdr>
        <w:top w:val="none" w:sz="0" w:space="0" w:color="auto"/>
        <w:left w:val="none" w:sz="0" w:space="0" w:color="auto"/>
        <w:bottom w:val="none" w:sz="0" w:space="0" w:color="auto"/>
        <w:right w:val="none" w:sz="0" w:space="0" w:color="auto"/>
      </w:divBdr>
    </w:div>
    <w:div w:id="1813862700">
      <w:bodyDiv w:val="1"/>
      <w:marLeft w:val="0"/>
      <w:marRight w:val="0"/>
      <w:marTop w:val="0"/>
      <w:marBottom w:val="0"/>
      <w:divBdr>
        <w:top w:val="none" w:sz="0" w:space="0" w:color="auto"/>
        <w:left w:val="none" w:sz="0" w:space="0" w:color="auto"/>
        <w:bottom w:val="none" w:sz="0" w:space="0" w:color="auto"/>
        <w:right w:val="none" w:sz="0" w:space="0" w:color="auto"/>
      </w:divBdr>
      <w:divsChild>
        <w:div w:id="934436101">
          <w:marLeft w:val="288"/>
          <w:marRight w:val="0"/>
          <w:marTop w:val="0"/>
          <w:marBottom w:val="0"/>
          <w:divBdr>
            <w:top w:val="none" w:sz="0" w:space="0" w:color="auto"/>
            <w:left w:val="none" w:sz="0" w:space="0" w:color="auto"/>
            <w:bottom w:val="none" w:sz="0" w:space="0" w:color="auto"/>
            <w:right w:val="none" w:sz="0" w:space="0" w:color="auto"/>
          </w:divBdr>
        </w:div>
        <w:div w:id="1675916986">
          <w:marLeft w:val="288"/>
          <w:marRight w:val="0"/>
          <w:marTop w:val="0"/>
          <w:marBottom w:val="0"/>
          <w:divBdr>
            <w:top w:val="none" w:sz="0" w:space="0" w:color="auto"/>
            <w:left w:val="none" w:sz="0" w:space="0" w:color="auto"/>
            <w:bottom w:val="none" w:sz="0" w:space="0" w:color="auto"/>
            <w:right w:val="none" w:sz="0" w:space="0" w:color="auto"/>
          </w:divBdr>
        </w:div>
        <w:div w:id="992414210">
          <w:marLeft w:val="288"/>
          <w:marRight w:val="0"/>
          <w:marTop w:val="0"/>
          <w:marBottom w:val="0"/>
          <w:divBdr>
            <w:top w:val="none" w:sz="0" w:space="0" w:color="auto"/>
            <w:left w:val="none" w:sz="0" w:space="0" w:color="auto"/>
            <w:bottom w:val="none" w:sz="0" w:space="0" w:color="auto"/>
            <w:right w:val="none" w:sz="0" w:space="0" w:color="auto"/>
          </w:divBdr>
        </w:div>
      </w:divsChild>
    </w:div>
    <w:div w:id="1898084364">
      <w:bodyDiv w:val="1"/>
      <w:marLeft w:val="0"/>
      <w:marRight w:val="0"/>
      <w:marTop w:val="0"/>
      <w:marBottom w:val="0"/>
      <w:divBdr>
        <w:top w:val="none" w:sz="0" w:space="0" w:color="auto"/>
        <w:left w:val="none" w:sz="0" w:space="0" w:color="auto"/>
        <w:bottom w:val="none" w:sz="0" w:space="0" w:color="auto"/>
        <w:right w:val="none" w:sz="0" w:space="0" w:color="auto"/>
      </w:divBdr>
      <w:divsChild>
        <w:div w:id="1658999184">
          <w:marLeft w:val="288"/>
          <w:marRight w:val="0"/>
          <w:marTop w:val="0"/>
          <w:marBottom w:val="0"/>
          <w:divBdr>
            <w:top w:val="none" w:sz="0" w:space="0" w:color="auto"/>
            <w:left w:val="none" w:sz="0" w:space="0" w:color="auto"/>
            <w:bottom w:val="none" w:sz="0" w:space="0" w:color="auto"/>
            <w:right w:val="none" w:sz="0" w:space="0" w:color="auto"/>
          </w:divBdr>
        </w:div>
        <w:div w:id="336932335">
          <w:marLeft w:val="288"/>
          <w:marRight w:val="0"/>
          <w:marTop w:val="0"/>
          <w:marBottom w:val="0"/>
          <w:divBdr>
            <w:top w:val="none" w:sz="0" w:space="0" w:color="auto"/>
            <w:left w:val="none" w:sz="0" w:space="0" w:color="auto"/>
            <w:bottom w:val="none" w:sz="0" w:space="0" w:color="auto"/>
            <w:right w:val="none" w:sz="0" w:space="0" w:color="auto"/>
          </w:divBdr>
        </w:div>
        <w:div w:id="1445005722">
          <w:marLeft w:val="288"/>
          <w:marRight w:val="0"/>
          <w:marTop w:val="0"/>
          <w:marBottom w:val="0"/>
          <w:divBdr>
            <w:top w:val="none" w:sz="0" w:space="0" w:color="auto"/>
            <w:left w:val="none" w:sz="0" w:space="0" w:color="auto"/>
            <w:bottom w:val="none" w:sz="0" w:space="0" w:color="auto"/>
            <w:right w:val="none" w:sz="0" w:space="0" w:color="auto"/>
          </w:divBdr>
        </w:div>
      </w:divsChild>
    </w:div>
    <w:div w:id="1937056042">
      <w:bodyDiv w:val="1"/>
      <w:marLeft w:val="0"/>
      <w:marRight w:val="0"/>
      <w:marTop w:val="0"/>
      <w:marBottom w:val="0"/>
      <w:divBdr>
        <w:top w:val="none" w:sz="0" w:space="0" w:color="auto"/>
        <w:left w:val="none" w:sz="0" w:space="0" w:color="auto"/>
        <w:bottom w:val="none" w:sz="0" w:space="0" w:color="auto"/>
        <w:right w:val="none" w:sz="0" w:space="0" w:color="auto"/>
      </w:divBdr>
    </w:div>
    <w:div w:id="1971207648">
      <w:bodyDiv w:val="1"/>
      <w:marLeft w:val="0"/>
      <w:marRight w:val="0"/>
      <w:marTop w:val="0"/>
      <w:marBottom w:val="0"/>
      <w:divBdr>
        <w:top w:val="none" w:sz="0" w:space="0" w:color="auto"/>
        <w:left w:val="none" w:sz="0" w:space="0" w:color="auto"/>
        <w:bottom w:val="none" w:sz="0" w:space="0" w:color="auto"/>
        <w:right w:val="none" w:sz="0" w:space="0" w:color="auto"/>
      </w:divBdr>
    </w:div>
    <w:div w:id="2030135047">
      <w:bodyDiv w:val="1"/>
      <w:marLeft w:val="0"/>
      <w:marRight w:val="0"/>
      <w:marTop w:val="0"/>
      <w:marBottom w:val="0"/>
      <w:divBdr>
        <w:top w:val="none" w:sz="0" w:space="0" w:color="auto"/>
        <w:left w:val="none" w:sz="0" w:space="0" w:color="auto"/>
        <w:bottom w:val="none" w:sz="0" w:space="0" w:color="auto"/>
        <w:right w:val="none" w:sz="0" w:space="0" w:color="auto"/>
      </w:divBdr>
      <w:divsChild>
        <w:div w:id="195823787">
          <w:marLeft w:val="547"/>
          <w:marRight w:val="0"/>
          <w:marTop w:val="0"/>
          <w:marBottom w:val="0"/>
          <w:divBdr>
            <w:top w:val="none" w:sz="0" w:space="0" w:color="auto"/>
            <w:left w:val="none" w:sz="0" w:space="0" w:color="auto"/>
            <w:bottom w:val="none" w:sz="0" w:space="0" w:color="auto"/>
            <w:right w:val="none" w:sz="0" w:space="0" w:color="auto"/>
          </w:divBdr>
        </w:div>
        <w:div w:id="986326278">
          <w:marLeft w:val="547"/>
          <w:marRight w:val="0"/>
          <w:marTop w:val="0"/>
          <w:marBottom w:val="0"/>
          <w:divBdr>
            <w:top w:val="none" w:sz="0" w:space="0" w:color="auto"/>
            <w:left w:val="none" w:sz="0" w:space="0" w:color="auto"/>
            <w:bottom w:val="none" w:sz="0" w:space="0" w:color="auto"/>
            <w:right w:val="none" w:sz="0" w:space="0" w:color="auto"/>
          </w:divBdr>
        </w:div>
        <w:div w:id="317392662">
          <w:marLeft w:val="547"/>
          <w:marRight w:val="0"/>
          <w:marTop w:val="0"/>
          <w:marBottom w:val="0"/>
          <w:divBdr>
            <w:top w:val="none" w:sz="0" w:space="0" w:color="auto"/>
            <w:left w:val="none" w:sz="0" w:space="0" w:color="auto"/>
            <w:bottom w:val="none" w:sz="0" w:space="0" w:color="auto"/>
            <w:right w:val="none" w:sz="0" w:space="0" w:color="auto"/>
          </w:divBdr>
        </w:div>
        <w:div w:id="15798286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97715-48B1-4C10-AD4F-1282EC09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Pages>
  <Words>255</Words>
  <Characters>1558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Vestergaard Olsen</dc:creator>
  <cp:keywords/>
  <dc:description/>
  <cp:lastModifiedBy>Niels Vestergaard Olsen</cp:lastModifiedBy>
  <cp:revision>33</cp:revision>
  <cp:lastPrinted>2022-08-11T09:32:00Z</cp:lastPrinted>
  <dcterms:created xsi:type="dcterms:W3CDTF">2022-08-04T11:12:00Z</dcterms:created>
  <dcterms:modified xsi:type="dcterms:W3CDTF">2022-09-01T12:58:00Z</dcterms:modified>
</cp:coreProperties>
</file>