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52A0A1D9" w:rsidR="008D616D" w:rsidRPr="00E755E4" w:rsidRDefault="00FD0989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Megatrends og </w:t>
            </w:r>
            <w:r w:rsidR="006A064B">
              <w:rPr>
                <w:b/>
              </w:rPr>
              <w:t>Scenarier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40625CA" w14:textId="3119A8D4" w:rsidR="00FD0989" w:rsidRDefault="0018248B" w:rsidP="00FD0989">
            <w:r w:rsidRPr="0018248B">
              <w:t>Megatrends er forholdsvis sikre udviklingsretninger, som forandrer vores samfund</w:t>
            </w:r>
            <w:r>
              <w:t xml:space="preserve">. </w:t>
            </w:r>
            <w:r w:rsidR="00FD0989">
              <w:t xml:space="preserve">På baggrund en eller flere megatrends er det muligt at opstille en række scenarier. </w:t>
            </w:r>
            <w:r w:rsidR="00FD0989" w:rsidRPr="00FD0989">
              <w:t>Med brug af scenarier er det muligt at skabe et spring i den strategiske tænkning, idet scenarier tillader, at der tænkes i helt nye retninger, hvor der vendes op og ned på tidligere antagelser og forudsætninger.</w:t>
            </w:r>
          </w:p>
          <w:p w14:paraId="364F5511" w14:textId="7E3B69E0" w:rsidR="00FD0989" w:rsidRDefault="00FD0989" w:rsidP="008C1AE8"/>
        </w:tc>
      </w:tr>
      <w:tr w:rsidR="008D616D" w14:paraId="19A05DB9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39B55B21" w14:textId="76A4F6B2" w:rsidR="00714DE0" w:rsidRDefault="008C1AE8" w:rsidP="003966CA">
            <w:r>
              <w:t xml:space="preserve">Megatrends er trends der </w:t>
            </w:r>
            <w:r w:rsidRPr="0018248B">
              <w:t xml:space="preserve">er så kraftige, at de har potentiale til at forandre samfundet på tværs af samfundskategorier (politik, </w:t>
            </w:r>
            <w:r>
              <w:t>ø</w:t>
            </w:r>
            <w:r w:rsidRPr="0018248B">
              <w:t>konomi, teknologi, kultur mv.) og på alle niveauer (struktur, aktør, individ)</w:t>
            </w:r>
            <w:r>
              <w:t xml:space="preserve">. </w:t>
            </w:r>
            <w:r w:rsidRPr="0018248B">
              <w:t>De ændrer vores måde at leve og tænke på</w:t>
            </w:r>
            <w:r>
              <w:t>.</w:t>
            </w:r>
          </w:p>
          <w:p w14:paraId="31990BFE" w14:textId="576DD687" w:rsidR="00FD0989" w:rsidRDefault="00FD0989" w:rsidP="003966CA"/>
          <w:p w14:paraId="2BCBEF48" w14:textId="4B12E3FF" w:rsidR="00FD0989" w:rsidRDefault="00FD0989" w:rsidP="00FD0989">
            <w:r>
              <w:t>Scenarie-planlægning anvendes altovervejende i forbindelse med langtidsplanlægning, ofte med en tidshorisont på mere end 3-5 år, og gerne med en endnu længere tidshorisont, fx 10-15 år.</w:t>
            </w:r>
          </w:p>
          <w:p w14:paraId="0485BC95" w14:textId="5F8CDADE" w:rsidR="008C1AE8" w:rsidRPr="004F740B" w:rsidRDefault="008C1AE8" w:rsidP="00FD0989"/>
        </w:tc>
      </w:tr>
      <w:tr w:rsidR="004B32F0" w14:paraId="0296D562" w14:textId="77777777" w:rsidTr="00B4493F">
        <w:trPr>
          <w:trHeight w:val="47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55C7" w14:textId="77777777" w:rsidR="004B32F0" w:rsidRDefault="004B32F0" w:rsidP="004B32F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2C71A051" w14:textId="77777777" w:rsidR="004B32F0" w:rsidRDefault="004B32F0" w:rsidP="004B32F0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1E2001FE" w14:textId="77777777" w:rsidR="004B32F0" w:rsidRDefault="004B32F0" w:rsidP="004B32F0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4CF93A73" w14:textId="77777777" w:rsidR="004B32F0" w:rsidRDefault="004B32F0" w:rsidP="004B32F0">
            <w:pPr>
              <w:pStyle w:val="Listeafsnit"/>
              <w:numPr>
                <w:ilvl w:val="0"/>
                <w:numId w:val="2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4011BFAF" w14:textId="77777777" w:rsidR="004B32F0" w:rsidRPr="004B32F0" w:rsidRDefault="004B32F0" w:rsidP="004B32F0">
            <w:pPr>
              <w:pStyle w:val="Listeafsnit"/>
              <w:numPr>
                <w:ilvl w:val="0"/>
                <w:numId w:val="1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5228CEEA" w14:textId="671C345D" w:rsidR="004B32F0" w:rsidRPr="005D501F" w:rsidRDefault="004B32F0" w:rsidP="004B32F0">
            <w:pPr>
              <w:pStyle w:val="Listeafsnit"/>
              <w:numPr>
                <w:ilvl w:val="1"/>
                <w:numId w:val="1"/>
              </w:numPr>
              <w:spacing w:line="259" w:lineRule="auto"/>
              <w:ind w:left="743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2C7D1472" w:rsidR="00881D7C" w:rsidRDefault="00881D7C" w:rsidP="00881D7C">
      <w:pPr>
        <w:spacing w:after="0"/>
        <w:rPr>
          <w:b/>
          <w:color w:val="000000" w:themeColor="text1"/>
        </w:rPr>
      </w:pPr>
    </w:p>
    <w:p w14:paraId="12759290" w14:textId="253E32D0" w:rsidR="006879C8" w:rsidRDefault="006879C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1"/>
        <w:gridCol w:w="3990"/>
        <w:gridCol w:w="5097"/>
      </w:tblGrid>
      <w:tr w:rsidR="008C1AE8" w14:paraId="11E4F8E3" w14:textId="77777777" w:rsidTr="006879C8">
        <w:trPr>
          <w:trHeight w:val="680"/>
        </w:trPr>
        <w:tc>
          <w:tcPr>
            <w:tcW w:w="541" w:type="dxa"/>
            <w:shd w:val="clear" w:color="auto" w:fill="F2F2F2" w:themeFill="background1" w:themeFillShade="F2"/>
            <w:vAlign w:val="center"/>
          </w:tcPr>
          <w:p w14:paraId="10DCFAEE" w14:textId="52B1E3F3" w:rsidR="008C1AE8" w:rsidRPr="003A4FC5" w:rsidRDefault="008C1AE8" w:rsidP="0033632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7" w:type="dxa"/>
            <w:gridSpan w:val="2"/>
            <w:shd w:val="clear" w:color="auto" w:fill="F2F2F2" w:themeFill="background1" w:themeFillShade="F2"/>
            <w:vAlign w:val="center"/>
          </w:tcPr>
          <w:p w14:paraId="089331AA" w14:textId="40608A99" w:rsidR="008C1AE8" w:rsidRPr="003A4FC5" w:rsidRDefault="008C1AE8" w:rsidP="0033632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Globale megatrends</w:t>
            </w:r>
          </w:p>
        </w:tc>
      </w:tr>
      <w:tr w:rsidR="0033632F" w14:paraId="6B23990A" w14:textId="77777777" w:rsidTr="006879C8">
        <w:trPr>
          <w:cantSplit/>
          <w:trHeight w:val="605"/>
        </w:trPr>
        <w:tc>
          <w:tcPr>
            <w:tcW w:w="541" w:type="dxa"/>
            <w:vMerge w:val="restart"/>
            <w:textDirection w:val="btLr"/>
            <w:vAlign w:val="center"/>
          </w:tcPr>
          <w:p w14:paraId="0D2BDFF4" w14:textId="6B0A5897" w:rsidR="0033632F" w:rsidRPr="003A4FC5" w:rsidRDefault="0033632F" w:rsidP="0033632F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Verden</w:t>
            </w:r>
          </w:p>
        </w:tc>
        <w:tc>
          <w:tcPr>
            <w:tcW w:w="3990" w:type="dxa"/>
          </w:tcPr>
          <w:p w14:paraId="70BE26DB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Globalisering</w:t>
            </w:r>
          </w:p>
          <w:p w14:paraId="3DEE3D5D" w14:textId="24C13435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097" w:type="dxa"/>
          </w:tcPr>
          <w:p w14:paraId="673B5B1F" w14:textId="24C40B75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color w:val="000000" w:themeColor="text1"/>
              </w:rPr>
              <w:t xml:space="preserve">Verden vokser tættere sammen. Det regionale bliver globalt. </w:t>
            </w:r>
          </w:p>
        </w:tc>
      </w:tr>
      <w:tr w:rsidR="0033632F" w14:paraId="6E829BCC" w14:textId="77777777" w:rsidTr="006879C8">
        <w:trPr>
          <w:cantSplit/>
          <w:trHeight w:val="605"/>
        </w:trPr>
        <w:tc>
          <w:tcPr>
            <w:tcW w:w="541" w:type="dxa"/>
            <w:vMerge/>
          </w:tcPr>
          <w:p w14:paraId="2036B554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</w:tcPr>
          <w:p w14:paraId="5943632E" w14:textId="7B02948F" w:rsidR="0033632F" w:rsidRPr="003A4FC5" w:rsidRDefault="0033632F" w:rsidP="00D25506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Befolkningstilvækst</w:t>
            </w:r>
          </w:p>
        </w:tc>
        <w:tc>
          <w:tcPr>
            <w:tcW w:w="5097" w:type="dxa"/>
          </w:tcPr>
          <w:p w14:paraId="6DD70FB6" w14:textId="0FF84A91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color w:val="000000" w:themeColor="text1"/>
              </w:rPr>
              <w:t>Eksplosiv befolkningstilvækst. På vej mod 11 milliarder mennesker i 2100.</w:t>
            </w:r>
          </w:p>
        </w:tc>
      </w:tr>
      <w:tr w:rsidR="0033632F" w14:paraId="10EEC414" w14:textId="77777777" w:rsidTr="006879C8">
        <w:trPr>
          <w:cantSplit/>
          <w:trHeight w:val="605"/>
        </w:trPr>
        <w:tc>
          <w:tcPr>
            <w:tcW w:w="541" w:type="dxa"/>
            <w:vMerge/>
          </w:tcPr>
          <w:p w14:paraId="239FC37E" w14:textId="4C047471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</w:tcPr>
          <w:p w14:paraId="7393E2D6" w14:textId="08B61306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Miljøændringer og bæredygtighed</w:t>
            </w:r>
          </w:p>
        </w:tc>
        <w:tc>
          <w:tcPr>
            <w:tcW w:w="5097" w:type="dxa"/>
          </w:tcPr>
          <w:p w14:paraId="431B7F48" w14:textId="7CF045B7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color w:val="000000" w:themeColor="text1"/>
              </w:rPr>
              <w:t xml:space="preserve">Klima og miljøpåvirkningen er </w:t>
            </w:r>
            <w:r>
              <w:rPr>
                <w:rFonts w:cstheme="minorHAnsi"/>
                <w:color w:val="000000" w:themeColor="text1"/>
              </w:rPr>
              <w:t xml:space="preserve">bekymrende, at </w:t>
            </w:r>
            <w:r w:rsidRPr="003A4FC5">
              <w:rPr>
                <w:rFonts w:cstheme="minorHAnsi"/>
                <w:color w:val="000000" w:themeColor="text1"/>
              </w:rPr>
              <w:t>en reel bæredygtig levevis skal etableres inden 2050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15AB11FA" w14:textId="77777777" w:rsidTr="006879C8">
        <w:trPr>
          <w:cantSplit/>
          <w:trHeight w:val="605"/>
        </w:trPr>
        <w:tc>
          <w:tcPr>
            <w:tcW w:w="54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5820EA02" w14:textId="5939CD00" w:rsidR="0033632F" w:rsidRPr="003A4FC5" w:rsidRDefault="0033632F" w:rsidP="0033632F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Befolkning og samfund</w:t>
            </w:r>
          </w:p>
        </w:tc>
        <w:tc>
          <w:tcPr>
            <w:tcW w:w="3990" w:type="dxa"/>
            <w:shd w:val="clear" w:color="auto" w:fill="F2F2F2" w:themeFill="background1" w:themeFillShade="F2"/>
          </w:tcPr>
          <w:p w14:paraId="01BE29C5" w14:textId="08E5A5F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Aldersudvikling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75215A78" w14:textId="4B79CB30" w:rsidR="0033632F" w:rsidRPr="00961DD7" w:rsidRDefault="0033632F" w:rsidP="0033632F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Vi bliver sundere og opnår en højere levealder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  <w:p w14:paraId="77551246" w14:textId="77777777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</w:p>
        </w:tc>
      </w:tr>
      <w:tr w:rsidR="0033632F" w14:paraId="1D7FFF34" w14:textId="77777777" w:rsidTr="006879C8">
        <w:trPr>
          <w:cantSplit/>
          <w:trHeight w:val="605"/>
        </w:trPr>
        <w:tc>
          <w:tcPr>
            <w:tcW w:w="541" w:type="dxa"/>
            <w:vMerge/>
            <w:shd w:val="clear" w:color="auto" w:fill="F2F2F2" w:themeFill="background1" w:themeFillShade="F2"/>
          </w:tcPr>
          <w:p w14:paraId="5EDD68AE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14:paraId="6F05B246" w14:textId="6D1CB0AC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Individualisme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48952A2E" w14:textId="20C1FB5B" w:rsidR="0033632F" w:rsidRPr="003A4FC5" w:rsidRDefault="0033632F" w:rsidP="0033632F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Individualisme vinder endnu mere frem samtidig med at vi danner nye fysiske og digitale fællesskaber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4EDE582B" w14:textId="77777777" w:rsidTr="006879C8">
        <w:trPr>
          <w:cantSplit/>
          <w:trHeight w:val="605"/>
        </w:trPr>
        <w:tc>
          <w:tcPr>
            <w:tcW w:w="541" w:type="dxa"/>
            <w:vMerge/>
            <w:shd w:val="clear" w:color="auto" w:fill="F2F2F2" w:themeFill="background1" w:themeFillShade="F2"/>
          </w:tcPr>
          <w:p w14:paraId="526E3539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14:paraId="68FCA28C" w14:textId="00B29C51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Sundhedsfokus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3EF4C2B4" w14:textId="387C1965" w:rsidR="0033632F" w:rsidRPr="003A4FC5" w:rsidRDefault="0033632F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Sundhed får endnu større betydning bl.a. med hjælp fra teknologi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4B725705" w14:textId="77777777" w:rsidTr="006879C8">
        <w:trPr>
          <w:cantSplit/>
          <w:trHeight w:val="605"/>
        </w:trPr>
        <w:tc>
          <w:tcPr>
            <w:tcW w:w="541" w:type="dxa"/>
            <w:vMerge/>
            <w:shd w:val="clear" w:color="auto" w:fill="F2F2F2" w:themeFill="background1" w:themeFillShade="F2"/>
          </w:tcPr>
          <w:p w14:paraId="097EECBE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14:paraId="654CF0F7" w14:textId="5F237D35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Urbanisering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53C5198F" w14:textId="5E4488CE" w:rsidR="0033632F" w:rsidRPr="003A4FC5" w:rsidRDefault="0033632F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Storbyerne vil vokse endnu mere i det 21. århundrede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574B5BE7" w14:textId="77777777" w:rsidTr="006879C8">
        <w:trPr>
          <w:cantSplit/>
          <w:trHeight w:val="605"/>
        </w:trPr>
        <w:tc>
          <w:tcPr>
            <w:tcW w:w="541" w:type="dxa"/>
            <w:vMerge w:val="restart"/>
            <w:textDirection w:val="btLr"/>
            <w:vAlign w:val="center"/>
          </w:tcPr>
          <w:p w14:paraId="7DF0AC99" w14:textId="00C09B95" w:rsidR="0033632F" w:rsidRPr="003A4FC5" w:rsidRDefault="0033632F" w:rsidP="0033632F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Teknologi og videnskab</w:t>
            </w:r>
          </w:p>
        </w:tc>
        <w:tc>
          <w:tcPr>
            <w:tcW w:w="3990" w:type="dxa"/>
          </w:tcPr>
          <w:p w14:paraId="151A6A3D" w14:textId="55E2C2BB" w:rsidR="0033632F" w:rsidRPr="00961DD7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Kunstig intelligens &amp; automatisering</w:t>
            </w:r>
          </w:p>
        </w:tc>
        <w:tc>
          <w:tcPr>
            <w:tcW w:w="5097" w:type="dxa"/>
          </w:tcPr>
          <w:p w14:paraId="316A54FE" w14:textId="06412AA5" w:rsidR="0033632F" w:rsidRPr="00961DD7" w:rsidRDefault="0033632F" w:rsidP="0033632F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Kunstig intelligens og robotteknologi vil ændre vores levevis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7DAA7C35" w14:textId="77777777" w:rsidTr="006879C8">
        <w:trPr>
          <w:cantSplit/>
          <w:trHeight w:val="605"/>
        </w:trPr>
        <w:tc>
          <w:tcPr>
            <w:tcW w:w="541" w:type="dxa"/>
            <w:vMerge/>
          </w:tcPr>
          <w:p w14:paraId="01119FA3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</w:tcPr>
          <w:p w14:paraId="1C25E737" w14:textId="2452C536" w:rsidR="0033632F" w:rsidRPr="00961DD7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Bioteknologisk revolution</w:t>
            </w:r>
          </w:p>
        </w:tc>
        <w:tc>
          <w:tcPr>
            <w:tcW w:w="5097" w:type="dxa"/>
          </w:tcPr>
          <w:p w14:paraId="7523E8E4" w14:textId="3B5D03B9" w:rsidR="0033632F" w:rsidRPr="00961DD7" w:rsidRDefault="0033632F" w:rsidP="0033632F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Bioteknologi vil betyde afgørende nye biologiske landvindinger bl.a. inden for sundhed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4DA810EC" w14:textId="77777777" w:rsidTr="006879C8">
        <w:trPr>
          <w:cantSplit/>
          <w:trHeight w:val="605"/>
        </w:trPr>
        <w:tc>
          <w:tcPr>
            <w:tcW w:w="541" w:type="dxa"/>
            <w:vMerge/>
          </w:tcPr>
          <w:p w14:paraId="106BEBC7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</w:tcPr>
          <w:p w14:paraId="1740E1C6" w14:textId="24D18383" w:rsidR="0033632F" w:rsidRPr="00961DD7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Større indbyrdes sammenhæng</w:t>
            </w:r>
          </w:p>
        </w:tc>
        <w:tc>
          <w:tcPr>
            <w:tcW w:w="5097" w:type="dxa"/>
          </w:tcPr>
          <w:p w14:paraId="2F22306A" w14:textId="6C63AA92" w:rsidR="0033632F" w:rsidRPr="00961DD7" w:rsidRDefault="0033632F" w:rsidP="0033632F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Stigende grad af forbundethed via internet som samtidig kan give tab af privatliv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33632F" w14:paraId="4624694E" w14:textId="77777777" w:rsidTr="006879C8">
        <w:trPr>
          <w:cantSplit/>
          <w:trHeight w:val="605"/>
        </w:trPr>
        <w:tc>
          <w:tcPr>
            <w:tcW w:w="541" w:type="dxa"/>
            <w:vMerge/>
          </w:tcPr>
          <w:p w14:paraId="439E1356" w14:textId="77777777" w:rsidR="0033632F" w:rsidRPr="003A4FC5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</w:tcPr>
          <w:p w14:paraId="2258AFC6" w14:textId="176385AD" w:rsidR="0033632F" w:rsidRPr="00961DD7" w:rsidRDefault="0033632F" w:rsidP="0033632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Tekniske fremskridt</w:t>
            </w:r>
          </w:p>
        </w:tc>
        <w:tc>
          <w:tcPr>
            <w:tcW w:w="5097" w:type="dxa"/>
          </w:tcPr>
          <w:p w14:paraId="3F5BF720" w14:textId="7B739902" w:rsidR="0033632F" w:rsidRPr="00961DD7" w:rsidRDefault="0033632F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Fortsat teknologisk udvikling bl.a. inden for energiområdet</w:t>
            </w:r>
            <w:r w:rsidR="00D25506">
              <w:rPr>
                <w:rFonts w:cstheme="minorHAnsi"/>
                <w:color w:val="000000" w:themeColor="text1"/>
              </w:rPr>
              <w:t>.</w:t>
            </w:r>
          </w:p>
        </w:tc>
      </w:tr>
      <w:tr w:rsidR="00D25506" w14:paraId="27273D20" w14:textId="77777777" w:rsidTr="006879C8">
        <w:trPr>
          <w:cantSplit/>
          <w:trHeight w:val="605"/>
        </w:trPr>
        <w:tc>
          <w:tcPr>
            <w:tcW w:w="541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054CD04" w14:textId="44728AA0" w:rsidR="00D25506" w:rsidRPr="003A4FC5" w:rsidRDefault="00D25506" w:rsidP="00D25506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Økonomi</w:t>
            </w:r>
          </w:p>
        </w:tc>
        <w:tc>
          <w:tcPr>
            <w:tcW w:w="3990" w:type="dxa"/>
            <w:shd w:val="clear" w:color="auto" w:fill="F2F2F2" w:themeFill="background1" w:themeFillShade="F2"/>
          </w:tcPr>
          <w:p w14:paraId="304A0E50" w14:textId="01212480" w:rsidR="00D25506" w:rsidRPr="00961DD7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Netværksøkonomi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F81E796" w14:textId="1CC1DE09" w:rsidR="00D25506" w:rsidRPr="00961DD7" w:rsidRDefault="00D25506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Øget decentrale økonomiske netværk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2413D035" w14:textId="659E6252" w:rsidR="00D25506" w:rsidRPr="00961DD7" w:rsidRDefault="00D25506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D25506" w14:paraId="40CBD1B2" w14:textId="77777777" w:rsidTr="006879C8">
        <w:trPr>
          <w:cantSplit/>
          <w:trHeight w:val="605"/>
        </w:trPr>
        <w:tc>
          <w:tcPr>
            <w:tcW w:w="541" w:type="dxa"/>
            <w:vMerge/>
            <w:shd w:val="clear" w:color="auto" w:fill="F2F2F2" w:themeFill="background1" w:themeFillShade="F2"/>
          </w:tcPr>
          <w:p w14:paraId="2760AD1F" w14:textId="77777777" w:rsidR="00D25506" w:rsidRPr="003A4FC5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14:paraId="42DE5674" w14:textId="082EE0B3" w:rsidR="00D25506" w:rsidRPr="00961DD7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Serviceøkonomi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6A771F6" w14:textId="1EFD1E76" w:rsidR="00D25506" w:rsidRPr="00961DD7" w:rsidRDefault="00D25506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En fortsat udvikling af serviceøkonomien båret frem af den øgede digitalisering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D25506" w14:paraId="44D83F63" w14:textId="77777777" w:rsidTr="006879C8">
        <w:trPr>
          <w:cantSplit/>
          <w:trHeight w:val="605"/>
        </w:trPr>
        <w:tc>
          <w:tcPr>
            <w:tcW w:w="541" w:type="dxa"/>
            <w:vMerge/>
            <w:shd w:val="clear" w:color="auto" w:fill="F2F2F2" w:themeFill="background1" w:themeFillShade="F2"/>
          </w:tcPr>
          <w:p w14:paraId="66385FA5" w14:textId="77777777" w:rsidR="00D25506" w:rsidRPr="003A4FC5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14:paraId="1BBA2FCF" w14:textId="7D5FE21C" w:rsidR="00D25506" w:rsidRPr="00961DD7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Økonomisk vækst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50C8DD22" w14:textId="6407905B" w:rsidR="00D25506" w:rsidRPr="00961DD7" w:rsidRDefault="00D25506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Fortsat økonomisk vækst som måske kan nå et vendepunkt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D25506" w14:paraId="5E7C755D" w14:textId="77777777" w:rsidTr="006879C8">
        <w:trPr>
          <w:cantSplit/>
          <w:trHeight w:val="605"/>
        </w:trPr>
        <w:tc>
          <w:tcPr>
            <w:tcW w:w="541" w:type="dxa"/>
            <w:vMerge/>
            <w:shd w:val="clear" w:color="auto" w:fill="F2F2F2" w:themeFill="background1" w:themeFillShade="F2"/>
          </w:tcPr>
          <w:p w14:paraId="3704913B" w14:textId="77777777" w:rsidR="00D25506" w:rsidRPr="003A4FC5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990" w:type="dxa"/>
            <w:shd w:val="clear" w:color="auto" w:fill="F2F2F2" w:themeFill="background1" w:themeFillShade="F2"/>
          </w:tcPr>
          <w:p w14:paraId="45445D39" w14:textId="57729ED4" w:rsidR="00D25506" w:rsidRPr="00961DD7" w:rsidRDefault="00D25506" w:rsidP="00D25506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Koncentration af rigdom</w:t>
            </w:r>
          </w:p>
        </w:tc>
        <w:tc>
          <w:tcPr>
            <w:tcW w:w="5097" w:type="dxa"/>
            <w:shd w:val="clear" w:color="auto" w:fill="F2F2F2" w:themeFill="background1" w:themeFillShade="F2"/>
          </w:tcPr>
          <w:p w14:paraId="6AB936E9" w14:textId="1139E3C1" w:rsidR="00D25506" w:rsidRPr="00961DD7" w:rsidRDefault="00D25506" w:rsidP="00D25506">
            <w:pPr>
              <w:rPr>
                <w:rFonts w:cstheme="minorHAnsi"/>
                <w:color w:val="000000" w:themeColor="text1"/>
              </w:rPr>
            </w:pPr>
            <w:r w:rsidRPr="00961DD7">
              <w:rPr>
                <w:rFonts w:cstheme="minorHAnsi"/>
                <w:color w:val="000000" w:themeColor="text1"/>
              </w:rPr>
              <w:t>Fortsat økonomisk koncentration samlet hos en meget lille del af klodens befolkning</w:t>
            </w:r>
            <w:r>
              <w:rPr>
                <w:rFonts w:cstheme="minorHAnsi"/>
                <w:color w:val="000000" w:themeColor="text1"/>
              </w:rPr>
              <w:t>.</w:t>
            </w:r>
            <w:r w:rsidRPr="00961DD7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70208AAA" w14:textId="2B74827C" w:rsidR="008C1AE8" w:rsidRDefault="008C1AE8"/>
    <w:p w14:paraId="20C5ED72" w14:textId="3B05ED1F" w:rsidR="006A064B" w:rsidRDefault="006A064B"/>
    <w:p w14:paraId="6D66A1C4" w14:textId="6A5323C8" w:rsidR="00D25506" w:rsidRDefault="00D25506">
      <w:r>
        <w:br w:type="page"/>
      </w:r>
    </w:p>
    <w:p w14:paraId="5F36527D" w14:textId="77777777" w:rsidR="00E13747" w:rsidRDefault="00E13747" w:rsidP="00E13747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3"/>
        <w:gridCol w:w="3395"/>
        <w:gridCol w:w="1138"/>
        <w:gridCol w:w="1138"/>
        <w:gridCol w:w="1138"/>
        <w:gridCol w:w="1138"/>
        <w:gridCol w:w="1138"/>
      </w:tblGrid>
      <w:tr w:rsidR="00E13747" w14:paraId="31E354A5" w14:textId="77777777" w:rsidTr="0037518E">
        <w:trPr>
          <w:trHeight w:val="680"/>
        </w:trPr>
        <w:tc>
          <w:tcPr>
            <w:tcW w:w="9628" w:type="dxa"/>
            <w:gridSpan w:val="7"/>
            <w:shd w:val="clear" w:color="auto" w:fill="D9D9D9" w:themeFill="background1" w:themeFillShade="D9"/>
            <w:vAlign w:val="center"/>
          </w:tcPr>
          <w:p w14:paraId="42076CBD" w14:textId="5D801C48" w:rsidR="00E13747" w:rsidRPr="00462136" w:rsidRDefault="0025421C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Vurdering af de enkelte Megatrends betydning i forhold til virksomhed: ______________</w:t>
            </w:r>
          </w:p>
        </w:tc>
      </w:tr>
      <w:tr w:rsidR="00E13747" w14:paraId="30C3405E" w14:textId="77777777" w:rsidTr="0025421C">
        <w:trPr>
          <w:trHeight w:val="680"/>
        </w:trPr>
        <w:tc>
          <w:tcPr>
            <w:tcW w:w="543" w:type="dxa"/>
            <w:shd w:val="clear" w:color="auto" w:fill="F2F2F2" w:themeFill="background1" w:themeFillShade="F2"/>
            <w:vAlign w:val="center"/>
          </w:tcPr>
          <w:p w14:paraId="79330A71" w14:textId="77777777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  <w:vAlign w:val="center"/>
          </w:tcPr>
          <w:p w14:paraId="41BB39B8" w14:textId="77777777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51BEA3AC" w14:textId="55DF1BDB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Ingen betydning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1999E9D5" w14:textId="17C61C97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Lille betydning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40AC5CE2" w14:textId="7FA7569A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Middel betydning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2F740F09" w14:textId="5CB7A467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Stor betydning</w:t>
            </w:r>
          </w:p>
        </w:tc>
        <w:tc>
          <w:tcPr>
            <w:tcW w:w="1138" w:type="dxa"/>
            <w:shd w:val="clear" w:color="auto" w:fill="F2F2F2" w:themeFill="background1" w:themeFillShade="F2"/>
            <w:vAlign w:val="center"/>
          </w:tcPr>
          <w:p w14:paraId="36247C59" w14:textId="26B8C591" w:rsidR="00E13747" w:rsidRPr="003A4FC5" w:rsidRDefault="00E13747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Meget stor betydning</w:t>
            </w:r>
          </w:p>
        </w:tc>
      </w:tr>
      <w:tr w:rsidR="0025421C" w14:paraId="4A919C80" w14:textId="77777777" w:rsidTr="0025421C">
        <w:trPr>
          <w:cantSplit/>
          <w:trHeight w:val="605"/>
        </w:trPr>
        <w:tc>
          <w:tcPr>
            <w:tcW w:w="543" w:type="dxa"/>
            <w:vMerge w:val="restart"/>
            <w:textDirection w:val="btLr"/>
            <w:vAlign w:val="center"/>
          </w:tcPr>
          <w:p w14:paraId="4D892E6A" w14:textId="77777777" w:rsidR="0025421C" w:rsidRPr="003A4FC5" w:rsidRDefault="0025421C" w:rsidP="0037518E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Verden</w:t>
            </w:r>
          </w:p>
        </w:tc>
        <w:tc>
          <w:tcPr>
            <w:tcW w:w="3395" w:type="dxa"/>
          </w:tcPr>
          <w:p w14:paraId="22C6714D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Globalisering</w:t>
            </w:r>
          </w:p>
          <w:p w14:paraId="31F553D1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2ED155C0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2FD37580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5E4F85AA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2BC7C69E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2B9D3F49" w14:textId="7E3E15A5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442590C9" w14:textId="77777777" w:rsidTr="001B2A68">
        <w:trPr>
          <w:cantSplit/>
          <w:trHeight w:val="605"/>
        </w:trPr>
        <w:tc>
          <w:tcPr>
            <w:tcW w:w="543" w:type="dxa"/>
            <w:vMerge/>
          </w:tcPr>
          <w:p w14:paraId="4F2DB131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</w:tcPr>
          <w:p w14:paraId="26F384B6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Befolkningstilvækst</w:t>
            </w:r>
          </w:p>
        </w:tc>
        <w:tc>
          <w:tcPr>
            <w:tcW w:w="1138" w:type="dxa"/>
          </w:tcPr>
          <w:p w14:paraId="3AE50518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7F013073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6BAC9799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5740B11B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673700C6" w14:textId="206E19EB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3D4472C6" w14:textId="77777777" w:rsidTr="000B1763">
        <w:trPr>
          <w:cantSplit/>
          <w:trHeight w:val="605"/>
        </w:trPr>
        <w:tc>
          <w:tcPr>
            <w:tcW w:w="543" w:type="dxa"/>
            <w:vMerge/>
          </w:tcPr>
          <w:p w14:paraId="7030353A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</w:tcPr>
          <w:p w14:paraId="0476D37B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  <w:r w:rsidRPr="003A4FC5">
              <w:rPr>
                <w:rFonts w:cstheme="minorHAnsi"/>
                <w:b/>
                <w:bCs/>
                <w:color w:val="000000" w:themeColor="text1"/>
              </w:rPr>
              <w:t>Miljøændringer og bæredygtighed</w:t>
            </w:r>
          </w:p>
        </w:tc>
        <w:tc>
          <w:tcPr>
            <w:tcW w:w="1138" w:type="dxa"/>
          </w:tcPr>
          <w:p w14:paraId="2B8005F9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6971F959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5477A7A5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0D673664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5D9BCE41" w14:textId="61CDB405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434DE7A0" w14:textId="77777777" w:rsidTr="00B13282">
        <w:trPr>
          <w:cantSplit/>
          <w:trHeight w:val="605"/>
        </w:trPr>
        <w:tc>
          <w:tcPr>
            <w:tcW w:w="54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05F3E3A2" w14:textId="77777777" w:rsidR="0025421C" w:rsidRPr="003A4FC5" w:rsidRDefault="0025421C" w:rsidP="0037518E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Befolkning og samfund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14:paraId="78707F30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Aldersudvikling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02C1785A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5332CE50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5F21C70D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2DDE3576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4C5711AD" w14:textId="5F3EAEB6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12DC9EFB" w14:textId="77777777" w:rsidTr="00D81336">
        <w:trPr>
          <w:cantSplit/>
          <w:trHeight w:val="605"/>
        </w:trPr>
        <w:tc>
          <w:tcPr>
            <w:tcW w:w="543" w:type="dxa"/>
            <w:vMerge/>
            <w:shd w:val="clear" w:color="auto" w:fill="F2F2F2" w:themeFill="background1" w:themeFillShade="F2"/>
          </w:tcPr>
          <w:p w14:paraId="1EBBAD6F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20F939AB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Individualisme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6211D552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6131920A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45BC6F03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68FB96B6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14260D65" w14:textId="3C27E891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3D7100A9" w14:textId="77777777" w:rsidTr="00882892">
        <w:trPr>
          <w:cantSplit/>
          <w:trHeight w:val="605"/>
        </w:trPr>
        <w:tc>
          <w:tcPr>
            <w:tcW w:w="543" w:type="dxa"/>
            <w:vMerge/>
            <w:shd w:val="clear" w:color="auto" w:fill="F2F2F2" w:themeFill="background1" w:themeFillShade="F2"/>
          </w:tcPr>
          <w:p w14:paraId="34CBBB02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06D1FB92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Sundhedsfokus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7A04B37C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2166A864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A56C00B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6D125D48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40ACBA39" w14:textId="3063A6DA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73117DCE" w14:textId="77777777" w:rsidTr="00F214DD">
        <w:trPr>
          <w:cantSplit/>
          <w:trHeight w:val="605"/>
        </w:trPr>
        <w:tc>
          <w:tcPr>
            <w:tcW w:w="543" w:type="dxa"/>
            <w:vMerge/>
            <w:shd w:val="clear" w:color="auto" w:fill="F2F2F2" w:themeFill="background1" w:themeFillShade="F2"/>
          </w:tcPr>
          <w:p w14:paraId="33333913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4F215409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Urbanisering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55750828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05C6D8CD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3877E406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6A7392D1" w14:textId="77777777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4CA1B7B5" w14:textId="0E25A69A" w:rsidR="0025421C" w:rsidRPr="003A4FC5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540B9691" w14:textId="77777777" w:rsidTr="006C1A53">
        <w:trPr>
          <w:cantSplit/>
          <w:trHeight w:val="605"/>
        </w:trPr>
        <w:tc>
          <w:tcPr>
            <w:tcW w:w="543" w:type="dxa"/>
            <w:vMerge w:val="restart"/>
            <w:textDirection w:val="btLr"/>
            <w:vAlign w:val="center"/>
          </w:tcPr>
          <w:p w14:paraId="01144CFD" w14:textId="77777777" w:rsidR="0025421C" w:rsidRPr="003A4FC5" w:rsidRDefault="0025421C" w:rsidP="0037518E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Teknologi og videnskab</w:t>
            </w:r>
          </w:p>
        </w:tc>
        <w:tc>
          <w:tcPr>
            <w:tcW w:w="3395" w:type="dxa"/>
          </w:tcPr>
          <w:p w14:paraId="02DA30D9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Kunstig intelligens &amp; automatisering</w:t>
            </w:r>
          </w:p>
        </w:tc>
        <w:tc>
          <w:tcPr>
            <w:tcW w:w="1138" w:type="dxa"/>
          </w:tcPr>
          <w:p w14:paraId="2DF9DA77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653EE56A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38F3F9B6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02BF8BAB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0790AB63" w14:textId="1357E506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6E8232FC" w14:textId="77777777" w:rsidTr="00425254">
        <w:trPr>
          <w:cantSplit/>
          <w:trHeight w:val="605"/>
        </w:trPr>
        <w:tc>
          <w:tcPr>
            <w:tcW w:w="543" w:type="dxa"/>
            <w:vMerge/>
          </w:tcPr>
          <w:p w14:paraId="5B9C2092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</w:tcPr>
          <w:p w14:paraId="0F9A775B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Bioteknologisk revolution</w:t>
            </w:r>
          </w:p>
        </w:tc>
        <w:tc>
          <w:tcPr>
            <w:tcW w:w="1138" w:type="dxa"/>
          </w:tcPr>
          <w:p w14:paraId="03D2376E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32A51B87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031DD619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2AAB3E92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33E18A44" w14:textId="2CC45A8A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516EF2E9" w14:textId="77777777" w:rsidTr="00822DEE">
        <w:trPr>
          <w:cantSplit/>
          <w:trHeight w:val="605"/>
        </w:trPr>
        <w:tc>
          <w:tcPr>
            <w:tcW w:w="543" w:type="dxa"/>
            <w:vMerge/>
          </w:tcPr>
          <w:p w14:paraId="13EAD70D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</w:tcPr>
          <w:p w14:paraId="3348B79C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Større indbyrdes sammenhæng</w:t>
            </w:r>
          </w:p>
        </w:tc>
        <w:tc>
          <w:tcPr>
            <w:tcW w:w="1138" w:type="dxa"/>
          </w:tcPr>
          <w:p w14:paraId="7754995F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038CD70A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4D22421F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364F6E89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07B8A3C2" w14:textId="3CE9FB25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4406429B" w14:textId="77777777" w:rsidTr="00BC6A98">
        <w:trPr>
          <w:cantSplit/>
          <w:trHeight w:val="605"/>
        </w:trPr>
        <w:tc>
          <w:tcPr>
            <w:tcW w:w="543" w:type="dxa"/>
            <w:vMerge/>
          </w:tcPr>
          <w:p w14:paraId="2869BFA5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</w:tcPr>
          <w:p w14:paraId="7BE9DF1A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Tekniske fremskridt</w:t>
            </w:r>
          </w:p>
        </w:tc>
        <w:tc>
          <w:tcPr>
            <w:tcW w:w="1138" w:type="dxa"/>
          </w:tcPr>
          <w:p w14:paraId="640F2601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3431E462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79134C47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74624756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</w:tcPr>
          <w:p w14:paraId="5620D132" w14:textId="0B375045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0CBC35EE" w14:textId="77777777" w:rsidTr="00C40ED2">
        <w:trPr>
          <w:cantSplit/>
          <w:trHeight w:val="605"/>
        </w:trPr>
        <w:tc>
          <w:tcPr>
            <w:tcW w:w="54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F360D2D" w14:textId="77777777" w:rsidR="0025421C" w:rsidRPr="003A4FC5" w:rsidRDefault="0025421C" w:rsidP="0037518E">
            <w:pPr>
              <w:ind w:left="113" w:right="113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Økonomi</w:t>
            </w:r>
          </w:p>
        </w:tc>
        <w:tc>
          <w:tcPr>
            <w:tcW w:w="3395" w:type="dxa"/>
            <w:shd w:val="clear" w:color="auto" w:fill="F2F2F2" w:themeFill="background1" w:themeFillShade="F2"/>
          </w:tcPr>
          <w:p w14:paraId="17A43B29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Netværksøkonomi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412A71C3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145B2B39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0895D3F8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6F195A6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13BB1FB6" w14:textId="30FBA660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13780EF4" w14:textId="77777777" w:rsidTr="00C936E4">
        <w:trPr>
          <w:cantSplit/>
          <w:trHeight w:val="605"/>
        </w:trPr>
        <w:tc>
          <w:tcPr>
            <w:tcW w:w="543" w:type="dxa"/>
            <w:vMerge/>
            <w:shd w:val="clear" w:color="auto" w:fill="F2F2F2" w:themeFill="background1" w:themeFillShade="F2"/>
          </w:tcPr>
          <w:p w14:paraId="2B6D9067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254987F3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Serviceøkonomi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6C28E4C1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7DCA018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65F6ACC8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434F5C6F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10F14887" w14:textId="07373640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44193C03" w14:textId="77777777" w:rsidTr="002B44E4">
        <w:trPr>
          <w:cantSplit/>
          <w:trHeight w:val="605"/>
        </w:trPr>
        <w:tc>
          <w:tcPr>
            <w:tcW w:w="543" w:type="dxa"/>
            <w:vMerge/>
            <w:shd w:val="clear" w:color="auto" w:fill="F2F2F2" w:themeFill="background1" w:themeFillShade="F2"/>
          </w:tcPr>
          <w:p w14:paraId="7FE26B0C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2C31A558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Økonomisk vækst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17677F61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88E7285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0BCC40B2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35DAA131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07A0EFB9" w14:textId="1F0B812E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52277C7D" w14:textId="77777777" w:rsidTr="0066618A">
        <w:trPr>
          <w:cantSplit/>
          <w:trHeight w:val="605"/>
        </w:trPr>
        <w:tc>
          <w:tcPr>
            <w:tcW w:w="543" w:type="dxa"/>
            <w:vMerge/>
            <w:shd w:val="clear" w:color="auto" w:fill="F2F2F2" w:themeFill="background1" w:themeFillShade="F2"/>
          </w:tcPr>
          <w:p w14:paraId="17201496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3395" w:type="dxa"/>
            <w:shd w:val="clear" w:color="auto" w:fill="F2F2F2" w:themeFill="background1" w:themeFillShade="F2"/>
          </w:tcPr>
          <w:p w14:paraId="44C27BA2" w14:textId="77777777" w:rsidR="0025421C" w:rsidRPr="00961DD7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61DD7">
              <w:rPr>
                <w:rFonts w:cstheme="minorHAnsi"/>
                <w:b/>
                <w:bCs/>
                <w:color w:val="000000" w:themeColor="text1"/>
              </w:rPr>
              <w:t>Koncentration af rigdom</w:t>
            </w:r>
          </w:p>
        </w:tc>
        <w:tc>
          <w:tcPr>
            <w:tcW w:w="1138" w:type="dxa"/>
            <w:shd w:val="clear" w:color="auto" w:fill="F2F2F2" w:themeFill="background1" w:themeFillShade="F2"/>
          </w:tcPr>
          <w:p w14:paraId="2E206DED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2D25E149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21406C3D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3F8514E9" w14:textId="77777777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38" w:type="dxa"/>
            <w:shd w:val="clear" w:color="auto" w:fill="F2F2F2" w:themeFill="background1" w:themeFillShade="F2"/>
          </w:tcPr>
          <w:p w14:paraId="740DD814" w14:textId="386C4F06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  <w:tr w:rsidR="0025421C" w14:paraId="5FE00FDC" w14:textId="77777777" w:rsidTr="00083E21">
        <w:trPr>
          <w:cantSplit/>
          <w:trHeight w:val="605"/>
        </w:trPr>
        <w:tc>
          <w:tcPr>
            <w:tcW w:w="543" w:type="dxa"/>
            <w:shd w:val="clear" w:color="auto" w:fill="FFFFFF" w:themeFill="background1"/>
          </w:tcPr>
          <w:p w14:paraId="68F06E4F" w14:textId="77777777" w:rsidR="0025421C" w:rsidRPr="003A4FC5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9085" w:type="dxa"/>
            <w:gridSpan w:val="6"/>
            <w:shd w:val="clear" w:color="auto" w:fill="FFFFFF" w:themeFill="background1"/>
          </w:tcPr>
          <w:p w14:paraId="64288E05" w14:textId="77777777" w:rsidR="0025421C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Samlet vurdering</w:t>
            </w:r>
          </w:p>
          <w:p w14:paraId="7D936E01" w14:textId="77777777" w:rsidR="0025421C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778F8D9" w14:textId="77777777" w:rsidR="0025421C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4C019226" w14:textId="77777777" w:rsidR="0025421C" w:rsidRDefault="0025421C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5C12FF7C" w14:textId="26EF78FF" w:rsidR="0025421C" w:rsidRPr="00961DD7" w:rsidRDefault="0025421C" w:rsidP="0037518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FDF9FC0" w14:textId="023B22EA" w:rsidR="00E13747" w:rsidRDefault="00E13747" w:rsidP="00E13747"/>
    <w:p w14:paraId="57DD1AF2" w14:textId="13E3291E" w:rsidR="006A50CB" w:rsidRDefault="006A50CB">
      <w:r>
        <w:br w:type="page"/>
      </w:r>
    </w:p>
    <w:p w14:paraId="0CAD173A" w14:textId="77777777" w:rsidR="004D1B62" w:rsidRDefault="004D1B62" w:rsidP="004D1B62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1B62" w14:paraId="676DB603" w14:textId="77777777" w:rsidTr="0037518E">
        <w:trPr>
          <w:trHeight w:val="680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585F9F43" w14:textId="70F33701" w:rsidR="004D1B62" w:rsidRPr="00462136" w:rsidRDefault="004D1B62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TOWS-analyse + Scenarier</w:t>
            </w:r>
          </w:p>
        </w:tc>
      </w:tr>
    </w:tbl>
    <w:p w14:paraId="42F33371" w14:textId="6263C00F" w:rsidR="00E13747" w:rsidRDefault="004D1B62" w:rsidP="00E13747">
      <w:r w:rsidRPr="005D3AC2">
        <w:rPr>
          <w:noProof/>
          <w:color w:val="000000" w:themeColor="text1"/>
        </w:rPr>
        <w:drawing>
          <wp:inline distT="0" distB="0" distL="0" distR="0" wp14:anchorId="08DDCB70" wp14:editId="16F17A6D">
            <wp:extent cx="6120130" cy="4291330"/>
            <wp:effectExtent l="19050" t="19050" r="13970" b="1397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456"/>
                    <a:stretch/>
                  </pic:blipFill>
                  <pic:spPr bwMode="auto">
                    <a:xfrm>
                      <a:off x="0" y="0"/>
                      <a:ext cx="6120130" cy="42913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8"/>
        <w:gridCol w:w="5690"/>
      </w:tblGrid>
      <w:tr w:rsidR="004D1B62" w14:paraId="146FC76E" w14:textId="77777777" w:rsidTr="009D0562">
        <w:trPr>
          <w:trHeight w:val="421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28991964" w14:textId="47BE37C0" w:rsidR="004D1B62" w:rsidRPr="00462136" w:rsidRDefault="004D1B62" w:rsidP="0037518E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Scenarier</w:t>
            </w:r>
          </w:p>
        </w:tc>
      </w:tr>
      <w:tr w:rsidR="00A61C95" w14:paraId="75407DC4" w14:textId="77777777" w:rsidTr="00A61C95">
        <w:trPr>
          <w:trHeight w:val="680"/>
        </w:trPr>
        <w:tc>
          <w:tcPr>
            <w:tcW w:w="9628" w:type="dxa"/>
            <w:gridSpan w:val="2"/>
            <w:shd w:val="clear" w:color="auto" w:fill="FFFFFF" w:themeFill="background1"/>
            <w:vAlign w:val="center"/>
          </w:tcPr>
          <w:p w14:paraId="383A31E3" w14:textId="77777777" w:rsidR="00A61C95" w:rsidRPr="009D0562" w:rsidRDefault="00A61C95" w:rsidP="00A61C9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0562">
              <w:rPr>
                <w:rFonts w:cstheme="minorHAnsi"/>
                <w:color w:val="000000" w:themeColor="text1"/>
                <w:sz w:val="18"/>
                <w:szCs w:val="18"/>
              </w:rPr>
              <w:t xml:space="preserve">Brug din TOWS-analyse til at få et billede af den nære fremtid. Herud fra kan du, ud fra din vurdering af </w:t>
            </w:r>
            <w:r w:rsidR="00702533" w:rsidRPr="009D0562">
              <w:rPr>
                <w:rFonts w:cstheme="minorHAnsi"/>
                <w:color w:val="000000" w:themeColor="text1"/>
                <w:sz w:val="18"/>
                <w:szCs w:val="18"/>
              </w:rPr>
              <w:t xml:space="preserve">de globale </w:t>
            </w:r>
            <w:r w:rsidRPr="009D0562">
              <w:rPr>
                <w:rFonts w:cstheme="minorHAnsi"/>
                <w:color w:val="000000" w:themeColor="text1"/>
                <w:sz w:val="18"/>
                <w:szCs w:val="18"/>
              </w:rPr>
              <w:t>mega</w:t>
            </w:r>
            <w:r w:rsidR="00702533" w:rsidRPr="009D0562">
              <w:rPr>
                <w:rFonts w:cstheme="minorHAnsi"/>
                <w:color w:val="000000" w:themeColor="text1"/>
                <w:sz w:val="18"/>
                <w:szCs w:val="18"/>
              </w:rPr>
              <w:t>trends betydning for din organisation,</w:t>
            </w:r>
            <w:r w:rsidRPr="009D0562">
              <w:rPr>
                <w:rFonts w:cstheme="minorHAnsi"/>
                <w:color w:val="000000" w:themeColor="text1"/>
                <w:sz w:val="18"/>
                <w:szCs w:val="18"/>
              </w:rPr>
              <w:t xml:space="preserve"> begynde at skabe mulige scenarier, der strækker sig ind i den fjerne fremtid. Det kan være en fordel at arbejde med flere scenarier, men også være indstillet på at </w:t>
            </w:r>
            <w:r w:rsidR="00702533" w:rsidRPr="009D0562">
              <w:rPr>
                <w:rFonts w:cstheme="minorHAnsi"/>
                <w:color w:val="000000" w:themeColor="text1"/>
                <w:sz w:val="18"/>
                <w:szCs w:val="18"/>
              </w:rPr>
              <w:t>skrotte dem, som viser sig ikke at holde stik.</w:t>
            </w:r>
          </w:p>
          <w:p w14:paraId="543C65D6" w14:textId="77777777" w:rsidR="009D0562" w:rsidRDefault="009D0562" w:rsidP="00A61C9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E489B2E" w14:textId="7BADC3C5" w:rsidR="00702533" w:rsidRPr="009D0562" w:rsidRDefault="00702533" w:rsidP="00A61C9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D0562">
              <w:rPr>
                <w:rFonts w:cstheme="minorHAnsi"/>
                <w:color w:val="000000" w:themeColor="text1"/>
                <w:sz w:val="18"/>
                <w:szCs w:val="18"/>
              </w:rPr>
              <w:t>Kendetegn ved scenarier:</w:t>
            </w:r>
          </w:p>
          <w:p w14:paraId="6B4B2DF9" w14:textId="77777777" w:rsidR="00702533" w:rsidRPr="006A50CB" w:rsidRDefault="00702533" w:rsidP="006A50CB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50CB">
              <w:rPr>
                <w:rFonts w:cstheme="minorHAnsi"/>
                <w:color w:val="000000" w:themeColor="text1"/>
                <w:sz w:val="18"/>
                <w:szCs w:val="18"/>
              </w:rPr>
              <w:t>Det er sandsynligt og troværdigt</w:t>
            </w:r>
          </w:p>
          <w:p w14:paraId="70042A7B" w14:textId="77777777" w:rsidR="00702533" w:rsidRPr="006A50CB" w:rsidRDefault="00702533" w:rsidP="006A50CB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50CB">
              <w:rPr>
                <w:rFonts w:cstheme="minorHAnsi"/>
                <w:color w:val="000000" w:themeColor="text1"/>
                <w:sz w:val="18"/>
                <w:szCs w:val="18"/>
              </w:rPr>
              <w:t>Det skal være relevant i forhold til organisationen</w:t>
            </w:r>
          </w:p>
          <w:p w14:paraId="0D591013" w14:textId="77777777" w:rsidR="006A50CB" w:rsidRPr="006A50CB" w:rsidRDefault="00702533" w:rsidP="006A50CB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50CB">
              <w:rPr>
                <w:rFonts w:cstheme="minorHAnsi"/>
                <w:color w:val="000000" w:themeColor="text1"/>
                <w:sz w:val="18"/>
                <w:szCs w:val="18"/>
              </w:rPr>
              <w:t>Det skal være udfordrende</w:t>
            </w:r>
          </w:p>
          <w:p w14:paraId="41C152C9" w14:textId="77777777" w:rsidR="00702533" w:rsidRPr="006A50CB" w:rsidRDefault="00702533" w:rsidP="006A50CB">
            <w:pPr>
              <w:pStyle w:val="Listeafsnit"/>
              <w:numPr>
                <w:ilvl w:val="0"/>
                <w:numId w:val="19"/>
              </w:num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A50CB">
              <w:rPr>
                <w:rFonts w:cstheme="minorHAnsi"/>
                <w:color w:val="000000" w:themeColor="text1"/>
                <w:sz w:val="18"/>
                <w:szCs w:val="18"/>
              </w:rPr>
              <w:t>Det skal kunne fortælles som en historie</w:t>
            </w:r>
          </w:p>
          <w:p w14:paraId="5A5E7878" w14:textId="295EE222" w:rsidR="006A50CB" w:rsidRPr="006A50CB" w:rsidRDefault="006A50CB" w:rsidP="006A50CB">
            <w:pPr>
              <w:rPr>
                <w:rFonts w:cstheme="minorHAnsi"/>
                <w:color w:val="000000" w:themeColor="text1"/>
              </w:rPr>
            </w:pPr>
          </w:p>
        </w:tc>
      </w:tr>
      <w:tr w:rsidR="004D1B62" w14:paraId="4A6C911E" w14:textId="77777777" w:rsidTr="00316702">
        <w:trPr>
          <w:trHeight w:val="680"/>
        </w:trPr>
        <w:tc>
          <w:tcPr>
            <w:tcW w:w="3938" w:type="dxa"/>
            <w:shd w:val="clear" w:color="auto" w:fill="F2F2F2" w:themeFill="background1" w:themeFillShade="F2"/>
            <w:vAlign w:val="center"/>
          </w:tcPr>
          <w:p w14:paraId="5534A2CA" w14:textId="77777777" w:rsidR="004D1B62" w:rsidRPr="003A4FC5" w:rsidRDefault="004D1B62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690" w:type="dxa"/>
            <w:shd w:val="clear" w:color="auto" w:fill="F2F2F2" w:themeFill="background1" w:themeFillShade="F2"/>
            <w:vAlign w:val="center"/>
          </w:tcPr>
          <w:p w14:paraId="2CFB9414" w14:textId="379ECE76" w:rsidR="004D1B62" w:rsidRPr="003A4FC5" w:rsidRDefault="004D1B62" w:rsidP="0037518E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Beskrivelse af Scenarier</w:t>
            </w:r>
          </w:p>
        </w:tc>
      </w:tr>
      <w:tr w:rsidR="004D1B62" w14:paraId="307846DF" w14:textId="77777777" w:rsidTr="009D0562">
        <w:trPr>
          <w:cantSplit/>
          <w:trHeight w:val="397"/>
        </w:trPr>
        <w:tc>
          <w:tcPr>
            <w:tcW w:w="3938" w:type="dxa"/>
            <w:vAlign w:val="center"/>
          </w:tcPr>
          <w:p w14:paraId="569844AF" w14:textId="7141A54C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Scenarie A</w:t>
            </w:r>
          </w:p>
        </w:tc>
        <w:tc>
          <w:tcPr>
            <w:tcW w:w="5690" w:type="dxa"/>
            <w:vAlign w:val="center"/>
          </w:tcPr>
          <w:p w14:paraId="0A3BBAC1" w14:textId="77777777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</w:p>
        </w:tc>
      </w:tr>
      <w:tr w:rsidR="004D1B62" w14:paraId="61074AF9" w14:textId="77777777" w:rsidTr="009D0562">
        <w:trPr>
          <w:cantSplit/>
          <w:trHeight w:val="397"/>
        </w:trPr>
        <w:tc>
          <w:tcPr>
            <w:tcW w:w="3938" w:type="dxa"/>
            <w:vAlign w:val="center"/>
          </w:tcPr>
          <w:p w14:paraId="69967061" w14:textId="703597A7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  <w:r w:rsidRPr="00F7482A">
              <w:rPr>
                <w:rFonts w:cstheme="minorHAnsi"/>
                <w:b/>
                <w:bCs/>
                <w:color w:val="000000" w:themeColor="text1"/>
              </w:rPr>
              <w:t xml:space="preserve">Scenarie </w:t>
            </w:r>
            <w:r>
              <w:rPr>
                <w:rFonts w:cstheme="minorHAnsi"/>
                <w:b/>
                <w:bCs/>
                <w:color w:val="000000" w:themeColor="text1"/>
              </w:rPr>
              <w:t>B</w:t>
            </w:r>
          </w:p>
        </w:tc>
        <w:tc>
          <w:tcPr>
            <w:tcW w:w="5690" w:type="dxa"/>
            <w:vAlign w:val="center"/>
          </w:tcPr>
          <w:p w14:paraId="2AFDADF5" w14:textId="77777777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</w:p>
        </w:tc>
      </w:tr>
      <w:tr w:rsidR="004D1B62" w14:paraId="3BFF0378" w14:textId="77777777" w:rsidTr="009D0562">
        <w:trPr>
          <w:cantSplit/>
          <w:trHeight w:val="397"/>
        </w:trPr>
        <w:tc>
          <w:tcPr>
            <w:tcW w:w="3938" w:type="dxa"/>
            <w:vAlign w:val="center"/>
          </w:tcPr>
          <w:p w14:paraId="34A0B484" w14:textId="70D8751A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  <w:r w:rsidRPr="00F7482A">
              <w:rPr>
                <w:rFonts w:cstheme="minorHAnsi"/>
                <w:b/>
                <w:bCs/>
                <w:color w:val="000000" w:themeColor="text1"/>
              </w:rPr>
              <w:t xml:space="preserve">Scenarie </w:t>
            </w:r>
            <w:r>
              <w:rPr>
                <w:rFonts w:cstheme="minorHAnsi"/>
                <w:b/>
                <w:bCs/>
                <w:color w:val="000000" w:themeColor="text1"/>
              </w:rPr>
              <w:t>C</w:t>
            </w:r>
          </w:p>
        </w:tc>
        <w:tc>
          <w:tcPr>
            <w:tcW w:w="5690" w:type="dxa"/>
            <w:vAlign w:val="center"/>
          </w:tcPr>
          <w:p w14:paraId="569C0F2D" w14:textId="77777777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</w:p>
        </w:tc>
      </w:tr>
      <w:tr w:rsidR="004D1B62" w14:paraId="4F7006D7" w14:textId="77777777" w:rsidTr="009D0562">
        <w:trPr>
          <w:cantSplit/>
          <w:trHeight w:val="397"/>
        </w:trPr>
        <w:tc>
          <w:tcPr>
            <w:tcW w:w="3938" w:type="dxa"/>
            <w:vAlign w:val="center"/>
          </w:tcPr>
          <w:p w14:paraId="60E3264D" w14:textId="21998E4C" w:rsidR="004D1B62" w:rsidRPr="003A4FC5" w:rsidRDefault="004D1B62" w:rsidP="004D1B62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482A">
              <w:rPr>
                <w:rFonts w:cstheme="minorHAnsi"/>
                <w:b/>
                <w:bCs/>
                <w:color w:val="000000" w:themeColor="text1"/>
              </w:rPr>
              <w:t xml:space="preserve">Scenarie </w:t>
            </w:r>
            <w:r>
              <w:rPr>
                <w:rFonts w:cstheme="minorHAnsi"/>
                <w:b/>
                <w:bCs/>
                <w:color w:val="000000" w:themeColor="text1"/>
              </w:rPr>
              <w:t>D</w:t>
            </w:r>
          </w:p>
        </w:tc>
        <w:tc>
          <w:tcPr>
            <w:tcW w:w="5690" w:type="dxa"/>
            <w:vAlign w:val="center"/>
          </w:tcPr>
          <w:p w14:paraId="628CD263" w14:textId="77777777" w:rsidR="004D1B62" w:rsidRPr="003A4FC5" w:rsidRDefault="004D1B62" w:rsidP="004D1B62">
            <w:pPr>
              <w:rPr>
                <w:rFonts w:cstheme="minorHAnsi"/>
                <w:color w:val="000000" w:themeColor="text1"/>
              </w:rPr>
            </w:pPr>
          </w:p>
        </w:tc>
      </w:tr>
      <w:tr w:rsidR="004D1B62" w14:paraId="55DDC600" w14:textId="77777777" w:rsidTr="009D0562">
        <w:trPr>
          <w:cantSplit/>
          <w:trHeight w:val="397"/>
        </w:trPr>
        <w:tc>
          <w:tcPr>
            <w:tcW w:w="3938" w:type="dxa"/>
          </w:tcPr>
          <w:p w14:paraId="17C34F02" w14:textId="333E6A61" w:rsidR="004D1B62" w:rsidRPr="003A4FC5" w:rsidRDefault="004D1B62" w:rsidP="0037518E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F7482A">
              <w:rPr>
                <w:rFonts w:cstheme="minorHAnsi"/>
                <w:b/>
                <w:bCs/>
                <w:color w:val="000000" w:themeColor="text1"/>
              </w:rPr>
              <w:t xml:space="preserve">Scenarie </w:t>
            </w:r>
            <w:r>
              <w:rPr>
                <w:rFonts w:cstheme="minorHAnsi"/>
                <w:b/>
                <w:bCs/>
                <w:color w:val="000000" w:themeColor="text1"/>
              </w:rPr>
              <w:t>E</w:t>
            </w:r>
          </w:p>
        </w:tc>
        <w:tc>
          <w:tcPr>
            <w:tcW w:w="5690" w:type="dxa"/>
          </w:tcPr>
          <w:p w14:paraId="00DA683E" w14:textId="77777777" w:rsidR="004D1B62" w:rsidRPr="003A4FC5" w:rsidRDefault="004D1B62" w:rsidP="0037518E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4A02BAD" w14:textId="77777777" w:rsidR="004D1B62" w:rsidRDefault="004D1B62" w:rsidP="009D0562"/>
    <w:sectPr w:rsidR="004D1B62" w:rsidSect="009D05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C30EA" w14:textId="77777777" w:rsidR="005D48EB" w:rsidRDefault="005D48EB" w:rsidP="00F57F7D">
      <w:pPr>
        <w:spacing w:after="0" w:line="240" w:lineRule="auto"/>
      </w:pPr>
      <w:r>
        <w:separator/>
      </w:r>
    </w:p>
  </w:endnote>
  <w:endnote w:type="continuationSeparator" w:id="0">
    <w:p w14:paraId="612DE1FF" w14:textId="77777777" w:rsidR="005D48EB" w:rsidRDefault="005D48EB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EAA1" w14:textId="77777777" w:rsidR="005D48EB" w:rsidRDefault="005D48EB" w:rsidP="00F57F7D">
      <w:pPr>
        <w:spacing w:after="0" w:line="240" w:lineRule="auto"/>
      </w:pPr>
      <w:r>
        <w:separator/>
      </w:r>
    </w:p>
  </w:footnote>
  <w:footnote w:type="continuationSeparator" w:id="0">
    <w:p w14:paraId="0B5603B6" w14:textId="77777777" w:rsidR="005D48EB" w:rsidRDefault="005D48EB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206C5"/>
    <w:multiLevelType w:val="hybridMultilevel"/>
    <w:tmpl w:val="DF462DE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D0DFB"/>
    <w:multiLevelType w:val="hybridMultilevel"/>
    <w:tmpl w:val="1638ACA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6AF"/>
    <w:multiLevelType w:val="hybridMultilevel"/>
    <w:tmpl w:val="E7C88A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304B9A"/>
    <w:multiLevelType w:val="hybridMultilevel"/>
    <w:tmpl w:val="3CDAFF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C7318"/>
    <w:multiLevelType w:val="hybridMultilevel"/>
    <w:tmpl w:val="5C20D5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50AEF"/>
    <w:multiLevelType w:val="hybridMultilevel"/>
    <w:tmpl w:val="E71A5A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F15805"/>
    <w:multiLevelType w:val="hybridMultilevel"/>
    <w:tmpl w:val="FC804B08"/>
    <w:lvl w:ilvl="0" w:tplc="021E8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569B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7EF0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EC43C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F045B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FA1B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2EA3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62E5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5C79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B08D1"/>
    <w:multiLevelType w:val="hybridMultilevel"/>
    <w:tmpl w:val="C23292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A0B6E"/>
    <w:multiLevelType w:val="hybridMultilevel"/>
    <w:tmpl w:val="4808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F7DB4"/>
    <w:multiLevelType w:val="hybridMultilevel"/>
    <w:tmpl w:val="84D679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831FA"/>
    <w:multiLevelType w:val="hybridMultilevel"/>
    <w:tmpl w:val="2B48BE0C"/>
    <w:lvl w:ilvl="0" w:tplc="C378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D7AF8"/>
    <w:multiLevelType w:val="hybridMultilevel"/>
    <w:tmpl w:val="FF60A9D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C30707"/>
    <w:multiLevelType w:val="hybridMultilevel"/>
    <w:tmpl w:val="7DE8A3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42EEF"/>
    <w:multiLevelType w:val="hybridMultilevel"/>
    <w:tmpl w:val="879A80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393762"/>
    <w:multiLevelType w:val="hybridMultilevel"/>
    <w:tmpl w:val="B2563A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2A14CA"/>
    <w:multiLevelType w:val="hybridMultilevel"/>
    <w:tmpl w:val="03A2D3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3585203">
    <w:abstractNumId w:val="6"/>
  </w:num>
  <w:num w:numId="2" w16cid:durableId="630944985">
    <w:abstractNumId w:val="0"/>
  </w:num>
  <w:num w:numId="3" w16cid:durableId="388454163">
    <w:abstractNumId w:val="16"/>
  </w:num>
  <w:num w:numId="4" w16cid:durableId="1848864459">
    <w:abstractNumId w:val="13"/>
  </w:num>
  <w:num w:numId="5" w16cid:durableId="823813339">
    <w:abstractNumId w:val="18"/>
  </w:num>
  <w:num w:numId="6" w16cid:durableId="622619399">
    <w:abstractNumId w:val="8"/>
  </w:num>
  <w:num w:numId="7" w16cid:durableId="1011295830">
    <w:abstractNumId w:val="15"/>
  </w:num>
  <w:num w:numId="8" w16cid:durableId="615528380">
    <w:abstractNumId w:val="17"/>
  </w:num>
  <w:num w:numId="9" w16cid:durableId="776680579">
    <w:abstractNumId w:val="1"/>
  </w:num>
  <w:num w:numId="10" w16cid:durableId="836267739">
    <w:abstractNumId w:val="3"/>
  </w:num>
  <w:num w:numId="11" w16cid:durableId="840898235">
    <w:abstractNumId w:val="2"/>
  </w:num>
  <w:num w:numId="12" w16cid:durableId="686492236">
    <w:abstractNumId w:val="10"/>
  </w:num>
  <w:num w:numId="13" w16cid:durableId="330648515">
    <w:abstractNumId w:val="9"/>
  </w:num>
  <w:num w:numId="14" w16cid:durableId="473716920">
    <w:abstractNumId w:val="5"/>
  </w:num>
  <w:num w:numId="15" w16cid:durableId="2049522389">
    <w:abstractNumId w:val="7"/>
  </w:num>
  <w:num w:numId="16" w16cid:durableId="325405763">
    <w:abstractNumId w:val="14"/>
  </w:num>
  <w:num w:numId="17" w16cid:durableId="1926457347">
    <w:abstractNumId w:val="11"/>
  </w:num>
  <w:num w:numId="18" w16cid:durableId="1243370833">
    <w:abstractNumId w:val="12"/>
  </w:num>
  <w:num w:numId="19" w16cid:durableId="68756130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0181B"/>
    <w:rsid w:val="0001372F"/>
    <w:rsid w:val="0003100E"/>
    <w:rsid w:val="00034A83"/>
    <w:rsid w:val="000441B8"/>
    <w:rsid w:val="00066A27"/>
    <w:rsid w:val="00071B84"/>
    <w:rsid w:val="000833C1"/>
    <w:rsid w:val="000B5988"/>
    <w:rsid w:val="000C4D67"/>
    <w:rsid w:val="000D3E43"/>
    <w:rsid w:val="000E4ECE"/>
    <w:rsid w:val="000F7860"/>
    <w:rsid w:val="00107556"/>
    <w:rsid w:val="00116BB9"/>
    <w:rsid w:val="0014016F"/>
    <w:rsid w:val="00167049"/>
    <w:rsid w:val="0017198F"/>
    <w:rsid w:val="00177430"/>
    <w:rsid w:val="00180D0E"/>
    <w:rsid w:val="00180F3E"/>
    <w:rsid w:val="0018248B"/>
    <w:rsid w:val="00187104"/>
    <w:rsid w:val="0019732C"/>
    <w:rsid w:val="001A11EE"/>
    <w:rsid w:val="001A5B9B"/>
    <w:rsid w:val="001B0337"/>
    <w:rsid w:val="001D2192"/>
    <w:rsid w:val="001D268E"/>
    <w:rsid w:val="001E121F"/>
    <w:rsid w:val="001E4D91"/>
    <w:rsid w:val="001E733E"/>
    <w:rsid w:val="001F1F7F"/>
    <w:rsid w:val="00203AF6"/>
    <w:rsid w:val="0021006F"/>
    <w:rsid w:val="00230DF4"/>
    <w:rsid w:val="00235A0A"/>
    <w:rsid w:val="002408C3"/>
    <w:rsid w:val="0025421C"/>
    <w:rsid w:val="002565C8"/>
    <w:rsid w:val="00271AC8"/>
    <w:rsid w:val="00272744"/>
    <w:rsid w:val="00276139"/>
    <w:rsid w:val="0029491A"/>
    <w:rsid w:val="002C6743"/>
    <w:rsid w:val="002E0915"/>
    <w:rsid w:val="00322BB1"/>
    <w:rsid w:val="00334402"/>
    <w:rsid w:val="0033632F"/>
    <w:rsid w:val="003571F8"/>
    <w:rsid w:val="00362478"/>
    <w:rsid w:val="0036273C"/>
    <w:rsid w:val="00395D50"/>
    <w:rsid w:val="003966CA"/>
    <w:rsid w:val="003A0555"/>
    <w:rsid w:val="003B2F96"/>
    <w:rsid w:val="003E6391"/>
    <w:rsid w:val="003E7B24"/>
    <w:rsid w:val="003E7FAB"/>
    <w:rsid w:val="003F30C5"/>
    <w:rsid w:val="00410170"/>
    <w:rsid w:val="00435044"/>
    <w:rsid w:val="004418DB"/>
    <w:rsid w:val="00452519"/>
    <w:rsid w:val="00456122"/>
    <w:rsid w:val="0046152D"/>
    <w:rsid w:val="004661F0"/>
    <w:rsid w:val="00470EB0"/>
    <w:rsid w:val="0047255D"/>
    <w:rsid w:val="004809AB"/>
    <w:rsid w:val="00484D74"/>
    <w:rsid w:val="00487687"/>
    <w:rsid w:val="004928A5"/>
    <w:rsid w:val="004A7350"/>
    <w:rsid w:val="004B32F0"/>
    <w:rsid w:val="004C6ED9"/>
    <w:rsid w:val="004D1B62"/>
    <w:rsid w:val="004E00E7"/>
    <w:rsid w:val="004E14B0"/>
    <w:rsid w:val="004E410D"/>
    <w:rsid w:val="004E4FD3"/>
    <w:rsid w:val="004E6358"/>
    <w:rsid w:val="004F340F"/>
    <w:rsid w:val="004F740B"/>
    <w:rsid w:val="005166C8"/>
    <w:rsid w:val="00516DC8"/>
    <w:rsid w:val="005201E9"/>
    <w:rsid w:val="00527540"/>
    <w:rsid w:val="005402EF"/>
    <w:rsid w:val="005418BC"/>
    <w:rsid w:val="00542955"/>
    <w:rsid w:val="00562142"/>
    <w:rsid w:val="005864D4"/>
    <w:rsid w:val="005A55F0"/>
    <w:rsid w:val="005B0365"/>
    <w:rsid w:val="005B6519"/>
    <w:rsid w:val="005D48EB"/>
    <w:rsid w:val="005E373A"/>
    <w:rsid w:val="00600753"/>
    <w:rsid w:val="00602261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77794"/>
    <w:rsid w:val="00680B8E"/>
    <w:rsid w:val="006879C8"/>
    <w:rsid w:val="006923A6"/>
    <w:rsid w:val="006A064B"/>
    <w:rsid w:val="006A50CB"/>
    <w:rsid w:val="006B64ED"/>
    <w:rsid w:val="006D2996"/>
    <w:rsid w:val="006E0EBD"/>
    <w:rsid w:val="00702533"/>
    <w:rsid w:val="0070488E"/>
    <w:rsid w:val="00707474"/>
    <w:rsid w:val="00714DE0"/>
    <w:rsid w:val="00720231"/>
    <w:rsid w:val="00720AF3"/>
    <w:rsid w:val="00720C07"/>
    <w:rsid w:val="00723038"/>
    <w:rsid w:val="00732173"/>
    <w:rsid w:val="007375BD"/>
    <w:rsid w:val="00742704"/>
    <w:rsid w:val="00764AA1"/>
    <w:rsid w:val="0076780A"/>
    <w:rsid w:val="00770515"/>
    <w:rsid w:val="007B2B6E"/>
    <w:rsid w:val="007C5F8D"/>
    <w:rsid w:val="007E0959"/>
    <w:rsid w:val="007E5D10"/>
    <w:rsid w:val="008015ED"/>
    <w:rsid w:val="00820F31"/>
    <w:rsid w:val="00821D5A"/>
    <w:rsid w:val="00825ED3"/>
    <w:rsid w:val="0084096F"/>
    <w:rsid w:val="00851EAE"/>
    <w:rsid w:val="008633DB"/>
    <w:rsid w:val="00881D7C"/>
    <w:rsid w:val="008A0422"/>
    <w:rsid w:val="008A07B4"/>
    <w:rsid w:val="008B2D1E"/>
    <w:rsid w:val="008C1AE8"/>
    <w:rsid w:val="008D5BB2"/>
    <w:rsid w:val="008D616D"/>
    <w:rsid w:val="008D6434"/>
    <w:rsid w:val="008E1BFF"/>
    <w:rsid w:val="00917044"/>
    <w:rsid w:val="00976824"/>
    <w:rsid w:val="00985421"/>
    <w:rsid w:val="00991794"/>
    <w:rsid w:val="009D0562"/>
    <w:rsid w:val="009D604B"/>
    <w:rsid w:val="009E7884"/>
    <w:rsid w:val="009F5333"/>
    <w:rsid w:val="00A06EE7"/>
    <w:rsid w:val="00A24374"/>
    <w:rsid w:val="00A4311E"/>
    <w:rsid w:val="00A6047C"/>
    <w:rsid w:val="00A61C95"/>
    <w:rsid w:val="00AA57E5"/>
    <w:rsid w:val="00AD3D82"/>
    <w:rsid w:val="00AE1E4B"/>
    <w:rsid w:val="00AE2245"/>
    <w:rsid w:val="00AE543C"/>
    <w:rsid w:val="00AE57B3"/>
    <w:rsid w:val="00B070A9"/>
    <w:rsid w:val="00B407A3"/>
    <w:rsid w:val="00B413C4"/>
    <w:rsid w:val="00B41E15"/>
    <w:rsid w:val="00B4493F"/>
    <w:rsid w:val="00B74D0E"/>
    <w:rsid w:val="00B80152"/>
    <w:rsid w:val="00B86416"/>
    <w:rsid w:val="00BA6413"/>
    <w:rsid w:val="00C05B15"/>
    <w:rsid w:val="00C1550C"/>
    <w:rsid w:val="00C204FF"/>
    <w:rsid w:val="00C3215C"/>
    <w:rsid w:val="00C338BE"/>
    <w:rsid w:val="00C33E31"/>
    <w:rsid w:val="00C34F70"/>
    <w:rsid w:val="00C551AF"/>
    <w:rsid w:val="00C62E67"/>
    <w:rsid w:val="00C654D3"/>
    <w:rsid w:val="00C85E8D"/>
    <w:rsid w:val="00C86A19"/>
    <w:rsid w:val="00C910B3"/>
    <w:rsid w:val="00C95E9E"/>
    <w:rsid w:val="00CB3B78"/>
    <w:rsid w:val="00CE3139"/>
    <w:rsid w:val="00D11540"/>
    <w:rsid w:val="00D11F84"/>
    <w:rsid w:val="00D17F8A"/>
    <w:rsid w:val="00D25506"/>
    <w:rsid w:val="00D273F5"/>
    <w:rsid w:val="00D4229B"/>
    <w:rsid w:val="00D46A14"/>
    <w:rsid w:val="00D46D31"/>
    <w:rsid w:val="00D51DA9"/>
    <w:rsid w:val="00D60BD6"/>
    <w:rsid w:val="00D62982"/>
    <w:rsid w:val="00D666E7"/>
    <w:rsid w:val="00D67AE6"/>
    <w:rsid w:val="00DB47A3"/>
    <w:rsid w:val="00DD1907"/>
    <w:rsid w:val="00DF296B"/>
    <w:rsid w:val="00DF6B5A"/>
    <w:rsid w:val="00E13747"/>
    <w:rsid w:val="00E16775"/>
    <w:rsid w:val="00E36396"/>
    <w:rsid w:val="00E44194"/>
    <w:rsid w:val="00E470CE"/>
    <w:rsid w:val="00E65B70"/>
    <w:rsid w:val="00E70F35"/>
    <w:rsid w:val="00E755E4"/>
    <w:rsid w:val="00E95A17"/>
    <w:rsid w:val="00EA29B9"/>
    <w:rsid w:val="00EC1370"/>
    <w:rsid w:val="00EC40F2"/>
    <w:rsid w:val="00EC446B"/>
    <w:rsid w:val="00EC6076"/>
    <w:rsid w:val="00EE1FF8"/>
    <w:rsid w:val="00EF397F"/>
    <w:rsid w:val="00F12F6B"/>
    <w:rsid w:val="00F14070"/>
    <w:rsid w:val="00F20455"/>
    <w:rsid w:val="00F57F7D"/>
    <w:rsid w:val="00F61B0D"/>
    <w:rsid w:val="00F706F8"/>
    <w:rsid w:val="00F761EC"/>
    <w:rsid w:val="00F809C7"/>
    <w:rsid w:val="00F86127"/>
    <w:rsid w:val="00F9576D"/>
    <w:rsid w:val="00FB3778"/>
    <w:rsid w:val="00FD0989"/>
    <w:rsid w:val="00F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8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6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2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5</cp:revision>
  <cp:lastPrinted>2022-08-04T11:09:00Z</cp:lastPrinted>
  <dcterms:created xsi:type="dcterms:W3CDTF">2022-08-26T14:54:00Z</dcterms:created>
  <dcterms:modified xsi:type="dcterms:W3CDTF">2022-09-01T13:15:00Z</dcterms:modified>
</cp:coreProperties>
</file>