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16D" w:rsidRPr="00E755E4" w14:paraId="13B9CF4F" w14:textId="77777777" w:rsidTr="00180D0E">
        <w:trPr>
          <w:trHeight w:val="68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6CDF28" w14:textId="12179DE4" w:rsidR="008D616D" w:rsidRPr="00E755E4" w:rsidRDefault="002E0915" w:rsidP="0094405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PLC-kurven</w:t>
            </w:r>
          </w:p>
        </w:tc>
      </w:tr>
      <w:tr w:rsidR="008D616D" w14:paraId="1C7F4BD0" w14:textId="77777777" w:rsidTr="00D666E7">
        <w:trPr>
          <w:trHeight w:val="71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201" w14:textId="77777777" w:rsidR="008D616D" w:rsidRDefault="008D616D" w:rsidP="00D666E7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6A39DD54" w14:textId="77777777" w:rsidR="00F61B0D" w:rsidRDefault="00714DE0" w:rsidP="004F740B">
            <w:r>
              <w:t>Formålet med produktlivscyklusen er at give en beskrivelse af det enkelte produkts salgsmæssige udvikling.</w:t>
            </w:r>
          </w:p>
          <w:p w14:paraId="364F5511" w14:textId="6F31F2BB" w:rsidR="00714DE0" w:rsidRDefault="00714DE0" w:rsidP="004F740B"/>
        </w:tc>
      </w:tr>
      <w:tr w:rsidR="008D616D" w14:paraId="19A05DB9" w14:textId="77777777" w:rsidTr="00B4493F">
        <w:trPr>
          <w:trHeight w:val="47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DD9" w14:textId="77777777" w:rsidR="008D616D" w:rsidRPr="005D501F" w:rsidRDefault="008D616D" w:rsidP="00D666E7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6C35A6FA" w14:textId="77777777" w:rsidR="00602261" w:rsidRDefault="00714DE0" w:rsidP="00714DE0">
            <w:r>
              <w:t>En produktlivscyklus (PLC-kurve) beskriver livsforløbet for et produkt, opdelt i følgende fire faser: introduktion, vækst, modenhed og afvikling.</w:t>
            </w:r>
          </w:p>
          <w:p w14:paraId="1500444E" w14:textId="77777777" w:rsidR="00714DE0" w:rsidRDefault="00714DE0" w:rsidP="00714DE0"/>
          <w:p w14:paraId="6EAEEEAE" w14:textId="6DB6A792" w:rsidR="00714DE0" w:rsidRDefault="00714DE0" w:rsidP="00714DE0">
            <w:r>
              <w:t>Produktlivscyklussen skal ses i tæt sammenhæng med Boston-matrixen, hvor introduktionsfasen på PLC-kurven relaterer til spørgsmålstegnet i Boston-matrixen. Tilsvarende relaterer vækstfasen til stjernen, modenhedsfasen til malkekoen og afvikling til hunden.</w:t>
            </w:r>
          </w:p>
          <w:p w14:paraId="0485BC95" w14:textId="327C8960" w:rsidR="00714DE0" w:rsidRPr="004F740B" w:rsidRDefault="00714DE0" w:rsidP="00714DE0"/>
        </w:tc>
      </w:tr>
      <w:tr w:rsidR="002D7837" w14:paraId="2D09A253" w14:textId="77777777" w:rsidTr="00B4493F">
        <w:trPr>
          <w:trHeight w:val="47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95A7" w14:textId="77777777" w:rsidR="002D7837" w:rsidRDefault="002D7837" w:rsidP="002D783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Data:</w:t>
            </w:r>
          </w:p>
          <w:p w14:paraId="070AEE41" w14:textId="77777777" w:rsidR="002D7837" w:rsidRDefault="002D7837" w:rsidP="002D783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Kilder til indsamling af oplysninger kan komme fra følgende steder:</w:t>
            </w:r>
          </w:p>
          <w:p w14:paraId="4962EB23" w14:textId="77777777" w:rsidR="002D7837" w:rsidRDefault="002D7837" w:rsidP="002D7837">
            <w:pPr>
              <w:pStyle w:val="Listeafsnit"/>
              <w:numPr>
                <w:ilvl w:val="0"/>
                <w:numId w:val="1"/>
              </w:numPr>
              <w:spacing w:line="259" w:lineRule="auto"/>
              <w:rPr>
                <w:color w:val="000000" w:themeColor="text1"/>
              </w:rPr>
            </w:pPr>
            <w:r w:rsidRPr="00680B8E">
              <w:rPr>
                <w:color w:val="000000" w:themeColor="text1"/>
              </w:rPr>
              <w:t>Primær</w:t>
            </w:r>
            <w:r>
              <w:rPr>
                <w:color w:val="000000" w:themeColor="text1"/>
              </w:rPr>
              <w:t>e</w:t>
            </w:r>
            <w:r w:rsidRPr="00680B8E">
              <w:rPr>
                <w:color w:val="000000" w:themeColor="text1"/>
              </w:rPr>
              <w:t xml:space="preserve"> dataanalyse </w:t>
            </w:r>
          </w:p>
          <w:p w14:paraId="72E3680A" w14:textId="77777777" w:rsidR="002D7837" w:rsidRDefault="002D7837" w:rsidP="002D7837">
            <w:pPr>
              <w:pStyle w:val="Listeafsnit"/>
              <w:numPr>
                <w:ilvl w:val="0"/>
                <w:numId w:val="2"/>
              </w:numPr>
              <w:spacing w:line="259" w:lineRule="auto"/>
              <w:ind w:left="7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680B8E">
              <w:rPr>
                <w:color w:val="000000" w:themeColor="text1"/>
              </w:rPr>
              <w:t>x egne undersøgelser</w:t>
            </w:r>
            <w:r>
              <w:rPr>
                <w:color w:val="000000" w:themeColor="text1"/>
              </w:rPr>
              <w:t xml:space="preserve"> og vurderinger</w:t>
            </w:r>
          </w:p>
          <w:p w14:paraId="191B4F08" w14:textId="77777777" w:rsidR="002D7837" w:rsidRPr="005D2E2C" w:rsidRDefault="002D7837" w:rsidP="002D7837">
            <w:pPr>
              <w:pStyle w:val="Listeafsnit"/>
              <w:numPr>
                <w:ilvl w:val="0"/>
                <w:numId w:val="1"/>
              </w:numPr>
              <w:spacing w:line="259" w:lineRule="auto"/>
              <w:rPr>
                <w:b/>
                <w:color w:val="000000" w:themeColor="text1"/>
              </w:rPr>
            </w:pPr>
            <w:r w:rsidRPr="005D2E2C">
              <w:rPr>
                <w:color w:val="000000" w:themeColor="text1"/>
              </w:rPr>
              <w:t>Sekundære data</w:t>
            </w:r>
          </w:p>
          <w:p w14:paraId="507B80D1" w14:textId="47B3A213" w:rsidR="002D7837" w:rsidRPr="002D7837" w:rsidRDefault="002D7837" w:rsidP="002D7837">
            <w:pPr>
              <w:pStyle w:val="Listeafsnit"/>
              <w:numPr>
                <w:ilvl w:val="0"/>
                <w:numId w:val="10"/>
              </w:numPr>
              <w:rPr>
                <w:b/>
                <w:color w:val="000000" w:themeColor="text1"/>
              </w:rPr>
            </w:pPr>
            <w:r w:rsidRPr="002D7837">
              <w:rPr>
                <w:color w:val="000000" w:themeColor="text1"/>
              </w:rPr>
              <w:t>Fx statistiske oplysninger m.m.</w:t>
            </w:r>
          </w:p>
        </w:tc>
      </w:tr>
    </w:tbl>
    <w:p w14:paraId="307677DF" w14:textId="2C7D1472" w:rsidR="00881D7C" w:rsidRDefault="00881D7C" w:rsidP="00881D7C">
      <w:pPr>
        <w:spacing w:after="0"/>
        <w:rPr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"/>
        <w:gridCol w:w="1131"/>
        <w:gridCol w:w="7648"/>
      </w:tblGrid>
      <w:tr w:rsidR="00D11540" w14:paraId="695F98E2" w14:textId="77777777" w:rsidTr="002408C3">
        <w:trPr>
          <w:trHeight w:val="680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255FDAF4" w14:textId="3634ACE2" w:rsidR="00D11540" w:rsidRPr="00462136" w:rsidRDefault="007E0959" w:rsidP="00C3435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PLC-kurven</w:t>
            </w:r>
            <w:r w:rsidRPr="004E14B0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 </w:t>
            </w:r>
            <w:r w:rsidR="0065122E" w:rsidRPr="004E14B0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opdelt i </w:t>
            </w:r>
            <w:r w:rsidR="00E44194" w:rsidRPr="004E14B0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>fem</w:t>
            </w:r>
            <w:r w:rsidR="00E16775" w:rsidRPr="004E14B0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 </w:t>
            </w:r>
            <w:r w:rsidR="0065122E" w:rsidRPr="004E14B0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>trin</w:t>
            </w:r>
          </w:p>
        </w:tc>
      </w:tr>
      <w:tr w:rsidR="00A34CFC" w:rsidRPr="003A10D8" w14:paraId="7EA8BB40" w14:textId="77777777" w:rsidTr="00507832">
        <w:trPr>
          <w:trHeight w:val="1435"/>
        </w:trPr>
        <w:tc>
          <w:tcPr>
            <w:tcW w:w="849" w:type="dxa"/>
            <w:shd w:val="clear" w:color="auto" w:fill="F2F2F2" w:themeFill="background1" w:themeFillShade="F2"/>
          </w:tcPr>
          <w:p w14:paraId="65D9FAA8" w14:textId="77777777" w:rsidR="00A34CFC" w:rsidRDefault="00A34CFC" w:rsidP="00E1677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  <w:p w14:paraId="3503AD6D" w14:textId="4346F5BF" w:rsidR="00A34CFC" w:rsidRDefault="00A34CFC" w:rsidP="003B2F96">
            <w:pPr>
              <w:rPr>
                <w:b/>
                <w:color w:val="000000" w:themeColor="text1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textDirection w:val="btLr"/>
            <w:vAlign w:val="center"/>
          </w:tcPr>
          <w:p w14:paraId="7D9A2581" w14:textId="795B8DD1" w:rsidR="00A34CFC" w:rsidRDefault="00A34CFC" w:rsidP="007E0959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Introduktion</w:t>
            </w:r>
          </w:p>
        </w:tc>
        <w:tc>
          <w:tcPr>
            <w:tcW w:w="7648" w:type="dxa"/>
          </w:tcPr>
          <w:p w14:paraId="4717FF44" w14:textId="706EE222" w:rsidR="00A34CFC" w:rsidRPr="003A10D8" w:rsidRDefault="00A34CFC" w:rsidP="00507832">
            <w:pPr>
              <w:rPr>
                <w:color w:val="000000" w:themeColor="text1"/>
              </w:rPr>
            </w:pPr>
            <w:r w:rsidRPr="00507832">
              <w:rPr>
                <w:color w:val="000000" w:themeColor="text1"/>
                <w:sz w:val="18"/>
                <w:szCs w:val="18"/>
              </w:rPr>
              <w:t>(Spørgsmålstegn i Boston-analysen</w:t>
            </w:r>
            <w:r w:rsidR="00507832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507832">
              <w:rPr>
                <w:color w:val="000000" w:themeColor="text1"/>
                <w:sz w:val="18"/>
                <w:szCs w:val="18"/>
              </w:rPr>
              <w:t>Beskriv fx hvilke Key Success Factors (KSF) der skal være opfyldt for at introduktionen er forløbet tilfredsstillende</w:t>
            </w:r>
            <w:r w:rsidR="00507832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A34CFC" w14:paraId="68F02134" w14:textId="77777777" w:rsidTr="00507832">
        <w:trPr>
          <w:cantSplit/>
          <w:trHeight w:val="1326"/>
        </w:trPr>
        <w:tc>
          <w:tcPr>
            <w:tcW w:w="849" w:type="dxa"/>
            <w:shd w:val="clear" w:color="auto" w:fill="F2F2F2" w:themeFill="background1" w:themeFillShade="F2"/>
          </w:tcPr>
          <w:p w14:paraId="34170C03" w14:textId="56A0261C" w:rsidR="00A34CFC" w:rsidRDefault="00A34CFC" w:rsidP="003B2F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  <w:p w14:paraId="42A6D9E6" w14:textId="20AC4FF7" w:rsidR="00A34CFC" w:rsidRDefault="00A34CFC" w:rsidP="002565C8">
            <w:pPr>
              <w:rPr>
                <w:b/>
                <w:color w:val="000000" w:themeColor="text1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textDirection w:val="btLr"/>
            <w:vAlign w:val="center"/>
          </w:tcPr>
          <w:p w14:paraId="715420B4" w14:textId="07814A43" w:rsidR="00A34CFC" w:rsidRDefault="00A34CFC" w:rsidP="00985421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Vækst</w:t>
            </w:r>
          </w:p>
        </w:tc>
        <w:tc>
          <w:tcPr>
            <w:tcW w:w="7648" w:type="dxa"/>
          </w:tcPr>
          <w:p w14:paraId="5C3B45C3" w14:textId="1A111748" w:rsidR="00A34CFC" w:rsidRPr="002565C8" w:rsidRDefault="00A34CFC" w:rsidP="00507832">
            <w:pPr>
              <w:rPr>
                <w:color w:val="000000" w:themeColor="text1"/>
              </w:rPr>
            </w:pPr>
            <w:r w:rsidRPr="00507832">
              <w:rPr>
                <w:color w:val="000000" w:themeColor="text1"/>
                <w:sz w:val="18"/>
                <w:szCs w:val="18"/>
              </w:rPr>
              <w:t>(Stjernen i Boston-analysen</w:t>
            </w:r>
            <w:r w:rsidR="00507832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507832">
              <w:rPr>
                <w:color w:val="000000" w:themeColor="text1"/>
                <w:sz w:val="18"/>
                <w:szCs w:val="18"/>
              </w:rPr>
              <w:t xml:space="preserve">Beskriv fx hvilke Key Success Factors (KSF) der forventes opfyldt, for at man kan tale om tilfredsstillende vækst. Det kan fx være </w:t>
            </w:r>
            <w:r w:rsidR="00365BC6" w:rsidRPr="00507832">
              <w:rPr>
                <w:color w:val="000000" w:themeColor="text1"/>
                <w:sz w:val="18"/>
                <w:szCs w:val="18"/>
              </w:rPr>
              <w:t>omsætningstal, markedsandele eller lignende</w:t>
            </w:r>
            <w:r w:rsidR="00507832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A34CFC" w14:paraId="48F564DB" w14:textId="77777777" w:rsidTr="00507832">
        <w:trPr>
          <w:cantSplit/>
          <w:trHeight w:val="1326"/>
        </w:trPr>
        <w:tc>
          <w:tcPr>
            <w:tcW w:w="849" w:type="dxa"/>
            <w:shd w:val="clear" w:color="auto" w:fill="F2F2F2" w:themeFill="background1" w:themeFillShade="F2"/>
          </w:tcPr>
          <w:p w14:paraId="363BBBEE" w14:textId="2A9E79DA" w:rsidR="00A34CFC" w:rsidRDefault="00A34CFC" w:rsidP="00E441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3</w:t>
            </w:r>
          </w:p>
          <w:p w14:paraId="235A06D4" w14:textId="77777777" w:rsidR="00A34CFC" w:rsidRDefault="00A34CFC" w:rsidP="00E44194">
            <w:pPr>
              <w:rPr>
                <w:b/>
                <w:color w:val="000000" w:themeColor="text1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textDirection w:val="btLr"/>
            <w:vAlign w:val="center"/>
          </w:tcPr>
          <w:p w14:paraId="4FC4C164" w14:textId="4AD163FF" w:rsidR="00A34CFC" w:rsidRDefault="00A34CFC" w:rsidP="00E44194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Modenhed</w:t>
            </w:r>
          </w:p>
        </w:tc>
        <w:tc>
          <w:tcPr>
            <w:tcW w:w="7648" w:type="dxa"/>
          </w:tcPr>
          <w:p w14:paraId="78E6CA8C" w14:textId="626E2994" w:rsidR="00A34CFC" w:rsidRPr="00507832" w:rsidRDefault="00A34CFC" w:rsidP="00507832">
            <w:pPr>
              <w:rPr>
                <w:color w:val="000000" w:themeColor="text1"/>
                <w:sz w:val="18"/>
                <w:szCs w:val="18"/>
              </w:rPr>
            </w:pPr>
            <w:r w:rsidRPr="00507832">
              <w:rPr>
                <w:color w:val="000000" w:themeColor="text1"/>
                <w:sz w:val="18"/>
                <w:szCs w:val="18"/>
              </w:rPr>
              <w:t>(Malkeko i Boston-analysen</w:t>
            </w:r>
            <w:r w:rsidR="00507832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507832">
              <w:rPr>
                <w:color w:val="000000" w:themeColor="text1"/>
                <w:sz w:val="18"/>
                <w:szCs w:val="18"/>
              </w:rPr>
              <w:t>Beskriv fx hvilke Key Success Factors (KSF) der</w:t>
            </w:r>
            <w:r w:rsidR="00365BC6" w:rsidRPr="00507832">
              <w:rPr>
                <w:color w:val="000000" w:themeColor="text1"/>
                <w:sz w:val="18"/>
                <w:szCs w:val="18"/>
              </w:rPr>
              <w:t xml:space="preserve"> skal til for at holde produktet på markedet. Det kan fx være hvor meget markedsføring der skal anvendes, hvilke målgrupper der skal opsøges eller lignende.</w:t>
            </w:r>
            <w:r w:rsidR="00507832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A34CFC" w14:paraId="02863CBC" w14:textId="77777777" w:rsidTr="00507832">
        <w:trPr>
          <w:cantSplit/>
          <w:trHeight w:val="1326"/>
        </w:trPr>
        <w:tc>
          <w:tcPr>
            <w:tcW w:w="849" w:type="dxa"/>
            <w:shd w:val="clear" w:color="auto" w:fill="F2F2F2" w:themeFill="background1" w:themeFillShade="F2"/>
          </w:tcPr>
          <w:p w14:paraId="43B29F33" w14:textId="7537C98E" w:rsidR="00A34CFC" w:rsidRDefault="00A34CFC" w:rsidP="00E4419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4</w:t>
            </w:r>
          </w:p>
          <w:p w14:paraId="59E6E274" w14:textId="77777777" w:rsidR="00A34CFC" w:rsidRDefault="00A34CFC" w:rsidP="00E44194">
            <w:pPr>
              <w:rPr>
                <w:b/>
                <w:color w:val="000000" w:themeColor="text1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textDirection w:val="btLr"/>
            <w:vAlign w:val="center"/>
          </w:tcPr>
          <w:p w14:paraId="098A71C8" w14:textId="54A92529" w:rsidR="00A34CFC" w:rsidRDefault="00A34CFC" w:rsidP="00E44194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Tilbagegang</w:t>
            </w:r>
          </w:p>
        </w:tc>
        <w:tc>
          <w:tcPr>
            <w:tcW w:w="7648" w:type="dxa"/>
          </w:tcPr>
          <w:p w14:paraId="523CD362" w14:textId="3B0DE371" w:rsidR="00A34CFC" w:rsidRPr="002565C8" w:rsidRDefault="00A34CFC" w:rsidP="00507832">
            <w:pPr>
              <w:rPr>
                <w:color w:val="000000" w:themeColor="text1"/>
              </w:rPr>
            </w:pPr>
            <w:r w:rsidRPr="00507832">
              <w:rPr>
                <w:color w:val="000000" w:themeColor="text1"/>
                <w:sz w:val="18"/>
                <w:szCs w:val="18"/>
              </w:rPr>
              <w:t>(Hund i Boston-analysen</w:t>
            </w:r>
            <w:r w:rsidR="00507832"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507832">
              <w:rPr>
                <w:color w:val="000000" w:themeColor="text1"/>
                <w:sz w:val="18"/>
                <w:szCs w:val="18"/>
              </w:rPr>
              <w:t>Beskriv fx hvilke Key Success Factors (KSF) der</w:t>
            </w:r>
            <w:r w:rsidR="00365BC6" w:rsidRPr="00507832">
              <w:rPr>
                <w:color w:val="000000" w:themeColor="text1"/>
                <w:sz w:val="18"/>
                <w:szCs w:val="18"/>
              </w:rPr>
              <w:t xml:space="preserve"> stadig gør det attraktivt at holde det pågældende produkt på markedet. Det kan fx være hvilke omsætningstal der som minimum skal til, hvilken markedsføring der minimum skal til osv.</w:t>
            </w:r>
            <w:r w:rsidR="00507832"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D273F5" w14:paraId="32B0BC21" w14:textId="77777777" w:rsidTr="00507832">
        <w:trPr>
          <w:trHeight w:val="1326"/>
        </w:trPr>
        <w:tc>
          <w:tcPr>
            <w:tcW w:w="1980" w:type="dxa"/>
            <w:gridSpan w:val="2"/>
            <w:shd w:val="clear" w:color="auto" w:fill="F2F2F2" w:themeFill="background1" w:themeFillShade="F2"/>
          </w:tcPr>
          <w:p w14:paraId="3291D6ED" w14:textId="3CA28FD2" w:rsidR="00D273F5" w:rsidRPr="00280225" w:rsidRDefault="00D273F5" w:rsidP="00AE224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Trin </w:t>
            </w:r>
            <w:r w:rsidR="00E44194">
              <w:rPr>
                <w:b/>
                <w:color w:val="000000" w:themeColor="text1"/>
              </w:rPr>
              <w:t>5</w:t>
            </w:r>
          </w:p>
        </w:tc>
        <w:tc>
          <w:tcPr>
            <w:tcW w:w="7648" w:type="dxa"/>
          </w:tcPr>
          <w:p w14:paraId="5FC6E2ED" w14:textId="5AE8C296" w:rsidR="00D273F5" w:rsidRDefault="00D273F5" w:rsidP="00AE2245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Samlet </w:t>
            </w:r>
            <w:r w:rsidR="0021006F">
              <w:rPr>
                <w:b/>
                <w:bCs/>
                <w:color w:val="000000" w:themeColor="text1"/>
              </w:rPr>
              <w:t>vurdering</w:t>
            </w:r>
          </w:p>
          <w:p w14:paraId="2E7DE868" w14:textId="2F49B78C" w:rsidR="0021006F" w:rsidRDefault="0021006F" w:rsidP="00AE2245">
            <w:pPr>
              <w:rPr>
                <w:b/>
                <w:bCs/>
                <w:color w:val="000000" w:themeColor="text1"/>
              </w:rPr>
            </w:pPr>
          </w:p>
          <w:p w14:paraId="3A134090" w14:textId="26433E54" w:rsidR="0021006F" w:rsidRDefault="0021006F" w:rsidP="00AE2245">
            <w:pPr>
              <w:rPr>
                <w:b/>
                <w:bCs/>
                <w:color w:val="000000" w:themeColor="text1"/>
              </w:rPr>
            </w:pPr>
          </w:p>
          <w:p w14:paraId="1FEF1977" w14:textId="6D39DC57" w:rsidR="0021006F" w:rsidRDefault="0021006F" w:rsidP="00AE2245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65CC1043" w14:textId="47D03A69" w:rsidR="008A0422" w:rsidRDefault="008A0422" w:rsidP="00985421">
      <w:pPr>
        <w:rPr>
          <w:b/>
          <w:color w:val="000000" w:themeColor="text1"/>
        </w:rPr>
      </w:pPr>
    </w:p>
    <w:p w14:paraId="171BF38C" w14:textId="4904C78D" w:rsidR="007E0959" w:rsidRDefault="007E0959" w:rsidP="007E0959">
      <w:pPr>
        <w:spacing w:after="0"/>
      </w:pPr>
    </w:p>
    <w:p w14:paraId="721BF811" w14:textId="77777777" w:rsidR="007E0959" w:rsidRDefault="007E0959" w:rsidP="007E0959">
      <w:pPr>
        <w:spacing w:after="0"/>
        <w:rPr>
          <w:b/>
          <w:color w:val="000000" w:themeColor="text1"/>
        </w:rPr>
      </w:pPr>
    </w:p>
    <w:p w14:paraId="360886A3" w14:textId="77777777" w:rsidR="007E0959" w:rsidRDefault="007E0959" w:rsidP="007E0959">
      <w:pPr>
        <w:rPr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"/>
        <w:gridCol w:w="1131"/>
        <w:gridCol w:w="3827"/>
        <w:gridCol w:w="3821"/>
      </w:tblGrid>
      <w:tr w:rsidR="007E0959" w14:paraId="2D9B5B9C" w14:textId="77777777" w:rsidTr="0037518E">
        <w:trPr>
          <w:trHeight w:val="680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14:paraId="0021D956" w14:textId="0AE4C926" w:rsidR="007E0959" w:rsidRPr="00462136" w:rsidRDefault="004E410D" w:rsidP="003751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PLC-kurven</w:t>
            </w:r>
            <w:r w:rsidRPr="004E14B0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 opdelt i fem trin</w:t>
            </w:r>
          </w:p>
        </w:tc>
      </w:tr>
      <w:tr w:rsidR="004E410D" w14:paraId="4C16A1C5" w14:textId="77777777" w:rsidTr="00365BC6">
        <w:trPr>
          <w:trHeight w:val="537"/>
        </w:trPr>
        <w:tc>
          <w:tcPr>
            <w:tcW w:w="1980" w:type="dxa"/>
            <w:gridSpan w:val="2"/>
            <w:shd w:val="clear" w:color="auto" w:fill="F2F2F2" w:themeFill="background1" w:themeFillShade="F2"/>
            <w:vAlign w:val="center"/>
          </w:tcPr>
          <w:p w14:paraId="3C163F53" w14:textId="77777777" w:rsidR="004E410D" w:rsidRDefault="004E410D" w:rsidP="004E410D">
            <w:pPr>
              <w:rPr>
                <w:b/>
                <w:color w:val="000000" w:themeColor="text1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</w:tcPr>
          <w:p w14:paraId="3BAB34AA" w14:textId="41A6B7DC" w:rsidR="004E410D" w:rsidRPr="008A0422" w:rsidRDefault="004E410D" w:rsidP="004E410D">
            <w:pPr>
              <w:rPr>
                <w:color w:val="000000" w:themeColor="text1"/>
              </w:rPr>
            </w:pPr>
            <w:r w:rsidRPr="004E410D">
              <w:rPr>
                <w:b/>
                <w:bCs/>
                <w:color w:val="000000" w:themeColor="text1"/>
              </w:rPr>
              <w:t>Key Succes Factor (KSF) for det pågældende stadie</w:t>
            </w:r>
          </w:p>
        </w:tc>
        <w:tc>
          <w:tcPr>
            <w:tcW w:w="3821" w:type="dxa"/>
            <w:shd w:val="clear" w:color="auto" w:fill="F2F2F2" w:themeFill="background1" w:themeFillShade="F2"/>
            <w:vAlign w:val="center"/>
          </w:tcPr>
          <w:p w14:paraId="3C88183D" w14:textId="2B8BE8A7" w:rsidR="004E410D" w:rsidRPr="004E410D" w:rsidRDefault="005864D4" w:rsidP="004E410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Samlet v</w:t>
            </w:r>
            <w:r w:rsidR="004E410D" w:rsidRPr="00C910B3">
              <w:rPr>
                <w:b/>
                <w:bCs/>
                <w:color w:val="000000" w:themeColor="text1"/>
              </w:rPr>
              <w:t>urdering</w:t>
            </w:r>
          </w:p>
        </w:tc>
      </w:tr>
      <w:tr w:rsidR="00365BC6" w14:paraId="79926AA2" w14:textId="77777777" w:rsidTr="00365BC6">
        <w:trPr>
          <w:trHeight w:val="2154"/>
        </w:trPr>
        <w:tc>
          <w:tcPr>
            <w:tcW w:w="849" w:type="dxa"/>
            <w:shd w:val="clear" w:color="auto" w:fill="F2F2F2" w:themeFill="background1" w:themeFillShade="F2"/>
          </w:tcPr>
          <w:p w14:paraId="7C734997" w14:textId="77777777" w:rsidR="00365BC6" w:rsidRDefault="00365BC6" w:rsidP="004E41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  <w:p w14:paraId="6DDB2621" w14:textId="77777777" w:rsidR="00365BC6" w:rsidRDefault="00365BC6" w:rsidP="004E410D">
            <w:pPr>
              <w:rPr>
                <w:b/>
                <w:color w:val="000000" w:themeColor="text1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textDirection w:val="btLr"/>
            <w:vAlign w:val="center"/>
          </w:tcPr>
          <w:p w14:paraId="0B52BEFF" w14:textId="77777777" w:rsidR="00365BC6" w:rsidRDefault="00365BC6" w:rsidP="004E410D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Introduktion</w:t>
            </w:r>
          </w:p>
        </w:tc>
        <w:tc>
          <w:tcPr>
            <w:tcW w:w="3827" w:type="dxa"/>
          </w:tcPr>
          <w:p w14:paraId="098E14B5" w14:textId="77777777" w:rsidR="00365BC6" w:rsidRDefault="00365BC6" w:rsidP="004E410D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285E0AC2" w14:textId="77777777" w:rsidR="00365BC6" w:rsidRDefault="00365BC6" w:rsidP="004E410D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0DA54B5D" w14:textId="3ACF6D6C" w:rsidR="00365BC6" w:rsidRDefault="00365BC6" w:rsidP="004E410D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3821" w:type="dxa"/>
          </w:tcPr>
          <w:p w14:paraId="3549DE39" w14:textId="77777777" w:rsidR="00365BC6" w:rsidRDefault="00365BC6" w:rsidP="004E410D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401826B9" w14:textId="6DDEF15E" w:rsidR="00365BC6" w:rsidRPr="004E410D" w:rsidRDefault="00365BC6" w:rsidP="004E410D">
            <w:pPr>
              <w:pStyle w:val="Listeafsni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4E410D">
              <w:rPr>
                <w:color w:val="000000" w:themeColor="text1"/>
              </w:rPr>
              <w:t>..</w:t>
            </w:r>
          </w:p>
        </w:tc>
      </w:tr>
      <w:tr w:rsidR="00365BC6" w14:paraId="1A790240" w14:textId="77777777" w:rsidTr="00365BC6">
        <w:trPr>
          <w:cantSplit/>
          <w:trHeight w:val="2154"/>
        </w:trPr>
        <w:tc>
          <w:tcPr>
            <w:tcW w:w="849" w:type="dxa"/>
            <w:shd w:val="clear" w:color="auto" w:fill="F2F2F2" w:themeFill="background1" w:themeFillShade="F2"/>
          </w:tcPr>
          <w:p w14:paraId="0111CA7B" w14:textId="77777777" w:rsidR="00365BC6" w:rsidRDefault="00365BC6" w:rsidP="004E41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  <w:p w14:paraId="22918D74" w14:textId="77777777" w:rsidR="00365BC6" w:rsidRDefault="00365BC6" w:rsidP="004E410D">
            <w:pPr>
              <w:rPr>
                <w:b/>
                <w:color w:val="000000" w:themeColor="text1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textDirection w:val="btLr"/>
            <w:vAlign w:val="center"/>
          </w:tcPr>
          <w:p w14:paraId="44EC5A88" w14:textId="77777777" w:rsidR="00365BC6" w:rsidRDefault="00365BC6" w:rsidP="004E410D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Vækst</w:t>
            </w:r>
          </w:p>
        </w:tc>
        <w:tc>
          <w:tcPr>
            <w:tcW w:w="3827" w:type="dxa"/>
          </w:tcPr>
          <w:p w14:paraId="321A30A7" w14:textId="77777777" w:rsidR="00365BC6" w:rsidRDefault="00365BC6" w:rsidP="004E410D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678C8178" w14:textId="77777777" w:rsidR="00365BC6" w:rsidRDefault="00365BC6" w:rsidP="004E410D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5BBAB849" w14:textId="144FC22C" w:rsidR="00365BC6" w:rsidRDefault="00365BC6" w:rsidP="004E410D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3821" w:type="dxa"/>
          </w:tcPr>
          <w:p w14:paraId="1CDE99FD" w14:textId="77777777" w:rsidR="00365BC6" w:rsidRDefault="00365BC6" w:rsidP="004E410D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0561F823" w14:textId="22C635AF" w:rsidR="00365BC6" w:rsidRPr="004E410D" w:rsidRDefault="00365BC6" w:rsidP="004E410D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4E410D">
              <w:rPr>
                <w:color w:val="000000" w:themeColor="text1"/>
              </w:rPr>
              <w:t>..</w:t>
            </w:r>
          </w:p>
        </w:tc>
      </w:tr>
      <w:tr w:rsidR="00365BC6" w14:paraId="5256F510" w14:textId="77777777" w:rsidTr="00365BC6">
        <w:trPr>
          <w:cantSplit/>
          <w:trHeight w:val="2154"/>
        </w:trPr>
        <w:tc>
          <w:tcPr>
            <w:tcW w:w="849" w:type="dxa"/>
            <w:shd w:val="clear" w:color="auto" w:fill="F2F2F2" w:themeFill="background1" w:themeFillShade="F2"/>
          </w:tcPr>
          <w:p w14:paraId="2F58192F" w14:textId="77777777" w:rsidR="00365BC6" w:rsidRDefault="00365BC6" w:rsidP="004E41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3</w:t>
            </w:r>
          </w:p>
          <w:p w14:paraId="61CAE1EF" w14:textId="77777777" w:rsidR="00365BC6" w:rsidRDefault="00365BC6" w:rsidP="004E410D">
            <w:pPr>
              <w:rPr>
                <w:b/>
                <w:color w:val="000000" w:themeColor="text1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textDirection w:val="btLr"/>
            <w:vAlign w:val="center"/>
          </w:tcPr>
          <w:p w14:paraId="3F4A8110" w14:textId="77777777" w:rsidR="00365BC6" w:rsidRDefault="00365BC6" w:rsidP="004E410D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Modenhed</w:t>
            </w:r>
          </w:p>
        </w:tc>
        <w:tc>
          <w:tcPr>
            <w:tcW w:w="3827" w:type="dxa"/>
          </w:tcPr>
          <w:p w14:paraId="0FBB6416" w14:textId="77777777" w:rsidR="00365BC6" w:rsidRDefault="00365BC6" w:rsidP="004E410D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60B77610" w14:textId="77777777" w:rsidR="00365BC6" w:rsidRDefault="00365BC6" w:rsidP="004E410D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7AB11A29" w14:textId="79393A59" w:rsidR="00365BC6" w:rsidRDefault="00365BC6" w:rsidP="004E410D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3821" w:type="dxa"/>
          </w:tcPr>
          <w:p w14:paraId="29064BF3" w14:textId="77777777" w:rsidR="00365BC6" w:rsidRDefault="00365BC6" w:rsidP="004E410D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1E237BF4" w14:textId="719C66CA" w:rsidR="00365BC6" w:rsidRPr="004E410D" w:rsidRDefault="00365BC6" w:rsidP="004E410D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4E410D">
              <w:rPr>
                <w:color w:val="000000" w:themeColor="text1"/>
              </w:rPr>
              <w:t>..</w:t>
            </w:r>
          </w:p>
        </w:tc>
      </w:tr>
      <w:tr w:rsidR="00365BC6" w14:paraId="4DF5B909" w14:textId="77777777" w:rsidTr="00365BC6">
        <w:trPr>
          <w:cantSplit/>
          <w:trHeight w:val="2154"/>
        </w:trPr>
        <w:tc>
          <w:tcPr>
            <w:tcW w:w="849" w:type="dxa"/>
            <w:shd w:val="clear" w:color="auto" w:fill="F2F2F2" w:themeFill="background1" w:themeFillShade="F2"/>
          </w:tcPr>
          <w:p w14:paraId="6D045435" w14:textId="77777777" w:rsidR="00365BC6" w:rsidRDefault="00365BC6" w:rsidP="004E41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4</w:t>
            </w:r>
          </w:p>
          <w:p w14:paraId="5A1F5696" w14:textId="77777777" w:rsidR="00365BC6" w:rsidRDefault="00365BC6" w:rsidP="004E410D">
            <w:pPr>
              <w:rPr>
                <w:b/>
                <w:color w:val="000000" w:themeColor="text1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  <w:textDirection w:val="btLr"/>
            <w:vAlign w:val="center"/>
          </w:tcPr>
          <w:p w14:paraId="7F499088" w14:textId="35D13D41" w:rsidR="00365BC6" w:rsidRDefault="00365BC6" w:rsidP="004E410D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Tilbagegang</w:t>
            </w:r>
          </w:p>
        </w:tc>
        <w:tc>
          <w:tcPr>
            <w:tcW w:w="3827" w:type="dxa"/>
          </w:tcPr>
          <w:p w14:paraId="21D470B4" w14:textId="77777777" w:rsidR="00365BC6" w:rsidRDefault="00365BC6" w:rsidP="004E410D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0C828C33" w14:textId="77777777" w:rsidR="00365BC6" w:rsidRDefault="00365BC6" w:rsidP="004E410D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75A63D6A" w14:textId="07492565" w:rsidR="00365BC6" w:rsidRDefault="00365BC6" w:rsidP="004E410D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</w:tc>
        <w:tc>
          <w:tcPr>
            <w:tcW w:w="3821" w:type="dxa"/>
          </w:tcPr>
          <w:p w14:paraId="18205875" w14:textId="77777777" w:rsidR="00365BC6" w:rsidRDefault="00365BC6" w:rsidP="004E410D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26600D94" w14:textId="2BEE4AC2" w:rsidR="00365BC6" w:rsidRPr="004E410D" w:rsidRDefault="00365BC6" w:rsidP="004E410D">
            <w:pPr>
              <w:pStyle w:val="Listeafsnit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4E410D">
              <w:rPr>
                <w:color w:val="000000" w:themeColor="text1"/>
              </w:rPr>
              <w:t>..</w:t>
            </w:r>
          </w:p>
        </w:tc>
      </w:tr>
      <w:tr w:rsidR="004E410D" w14:paraId="18DC75C3" w14:textId="77777777" w:rsidTr="0037518E">
        <w:trPr>
          <w:trHeight w:val="537"/>
        </w:trPr>
        <w:tc>
          <w:tcPr>
            <w:tcW w:w="1980" w:type="dxa"/>
            <w:gridSpan w:val="2"/>
            <w:shd w:val="clear" w:color="auto" w:fill="F2F2F2" w:themeFill="background1" w:themeFillShade="F2"/>
          </w:tcPr>
          <w:p w14:paraId="66C8790A" w14:textId="77777777" w:rsidR="004E410D" w:rsidRPr="00280225" w:rsidRDefault="004E410D" w:rsidP="004E41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5</w:t>
            </w:r>
          </w:p>
        </w:tc>
        <w:tc>
          <w:tcPr>
            <w:tcW w:w="7648" w:type="dxa"/>
            <w:gridSpan w:val="2"/>
          </w:tcPr>
          <w:p w14:paraId="33D86E9E" w14:textId="77777777" w:rsidR="004E410D" w:rsidRDefault="004E410D" w:rsidP="004E410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Samlet vurdering</w:t>
            </w:r>
          </w:p>
          <w:p w14:paraId="11187227" w14:textId="77777777" w:rsidR="004E410D" w:rsidRDefault="004E410D" w:rsidP="004E410D">
            <w:pPr>
              <w:rPr>
                <w:b/>
                <w:bCs/>
                <w:color w:val="000000" w:themeColor="text1"/>
              </w:rPr>
            </w:pPr>
          </w:p>
          <w:p w14:paraId="71DFF1F8" w14:textId="77777777" w:rsidR="004E410D" w:rsidRDefault="004E410D" w:rsidP="004E410D">
            <w:pPr>
              <w:rPr>
                <w:b/>
                <w:bCs/>
                <w:color w:val="000000" w:themeColor="text1"/>
              </w:rPr>
            </w:pPr>
          </w:p>
          <w:p w14:paraId="3752B2F3" w14:textId="77777777" w:rsidR="004E410D" w:rsidRDefault="004E410D" w:rsidP="004E410D">
            <w:pPr>
              <w:rPr>
                <w:b/>
                <w:bCs/>
                <w:color w:val="000000" w:themeColor="text1"/>
              </w:rPr>
            </w:pPr>
          </w:p>
          <w:p w14:paraId="7AA7F7DB" w14:textId="77777777" w:rsidR="004E410D" w:rsidRDefault="004E410D" w:rsidP="004E410D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1A5DAF54" w14:textId="77777777" w:rsidR="007E0959" w:rsidRDefault="007E0959" w:rsidP="00985421">
      <w:pPr>
        <w:rPr>
          <w:b/>
          <w:color w:val="000000" w:themeColor="text1"/>
        </w:rPr>
      </w:pPr>
    </w:p>
    <w:sectPr w:rsidR="007E0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58CB" w14:textId="77777777" w:rsidR="00FC48E8" w:rsidRDefault="00FC48E8" w:rsidP="00F57F7D">
      <w:pPr>
        <w:spacing w:after="0" w:line="240" w:lineRule="auto"/>
      </w:pPr>
      <w:r>
        <w:separator/>
      </w:r>
    </w:p>
  </w:endnote>
  <w:endnote w:type="continuationSeparator" w:id="0">
    <w:p w14:paraId="6343CF58" w14:textId="77777777" w:rsidR="00FC48E8" w:rsidRDefault="00FC48E8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1DB6" w14:textId="77777777" w:rsidR="00EC6076" w:rsidRDefault="00EC60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E9DD4D" w14:textId="77777777"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B9AAE" w14:textId="77777777" w:rsidR="007375BD" w:rsidRDefault="007375B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32DB" w14:textId="77777777" w:rsidR="00EC6076" w:rsidRDefault="00EC60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E32F" w14:textId="77777777" w:rsidR="00FC48E8" w:rsidRDefault="00FC48E8" w:rsidP="00F57F7D">
      <w:pPr>
        <w:spacing w:after="0" w:line="240" w:lineRule="auto"/>
      </w:pPr>
      <w:r>
        <w:separator/>
      </w:r>
    </w:p>
  </w:footnote>
  <w:footnote w:type="continuationSeparator" w:id="0">
    <w:p w14:paraId="7FD69982" w14:textId="77777777" w:rsidR="00FC48E8" w:rsidRDefault="00FC48E8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5441" w14:textId="77777777" w:rsidR="00EC6076" w:rsidRDefault="00EC60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DEE1" w14:textId="0013796F" w:rsidR="00F57F7D" w:rsidRPr="009D604B" w:rsidRDefault="00AE1E4B" w:rsidP="00E95A17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STRATEGI – det strategiske lederskab</w:t>
    </w:r>
    <w:r w:rsidR="00E95A17">
      <w:rPr>
        <w:rFonts w:ascii="Verdana" w:hAnsi="Verdana"/>
      </w:rPr>
      <w:tab/>
    </w:r>
    <w:r w:rsidR="00E95A17">
      <w:rPr>
        <w:rFonts w:ascii="Verdana" w:hAnsi="Verdana"/>
        <w:b/>
        <w:sz w:val="40"/>
        <w:szCs w:val="40"/>
      </w:rPr>
      <w:t>Trojka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3AB0" w14:textId="77777777" w:rsidR="00EC6076" w:rsidRDefault="00EC60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F14"/>
    <w:multiLevelType w:val="hybridMultilevel"/>
    <w:tmpl w:val="F2B2240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50AEF"/>
    <w:multiLevelType w:val="hybridMultilevel"/>
    <w:tmpl w:val="7540826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B08D1"/>
    <w:multiLevelType w:val="hybridMultilevel"/>
    <w:tmpl w:val="C23292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44196B"/>
    <w:multiLevelType w:val="hybridMultilevel"/>
    <w:tmpl w:val="93E2CB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9109C"/>
    <w:multiLevelType w:val="hybridMultilevel"/>
    <w:tmpl w:val="AD38AE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342EEF"/>
    <w:multiLevelType w:val="hybridMultilevel"/>
    <w:tmpl w:val="879A80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4B0A5F"/>
    <w:multiLevelType w:val="hybridMultilevel"/>
    <w:tmpl w:val="083C3C9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84A78"/>
    <w:multiLevelType w:val="hybridMultilevel"/>
    <w:tmpl w:val="6E80BF02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393762"/>
    <w:multiLevelType w:val="hybridMultilevel"/>
    <w:tmpl w:val="B2563A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2A14CA"/>
    <w:multiLevelType w:val="hybridMultilevel"/>
    <w:tmpl w:val="2512AC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3585203">
    <w:abstractNumId w:val="1"/>
  </w:num>
  <w:num w:numId="2" w16cid:durableId="630944985">
    <w:abstractNumId w:val="0"/>
  </w:num>
  <w:num w:numId="3" w16cid:durableId="388454163">
    <w:abstractNumId w:val="7"/>
  </w:num>
  <w:num w:numId="4" w16cid:durableId="1848864459">
    <w:abstractNumId w:val="4"/>
  </w:num>
  <w:num w:numId="5" w16cid:durableId="823813339">
    <w:abstractNumId w:val="9"/>
  </w:num>
  <w:num w:numId="6" w16cid:durableId="622619399">
    <w:abstractNumId w:val="2"/>
  </w:num>
  <w:num w:numId="7" w16cid:durableId="1011295830">
    <w:abstractNumId w:val="5"/>
  </w:num>
  <w:num w:numId="8" w16cid:durableId="615528380">
    <w:abstractNumId w:val="8"/>
  </w:num>
  <w:num w:numId="9" w16cid:durableId="533886181">
    <w:abstractNumId w:val="3"/>
  </w:num>
  <w:num w:numId="10" w16cid:durableId="113013089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0181B"/>
    <w:rsid w:val="0001372F"/>
    <w:rsid w:val="00016D6E"/>
    <w:rsid w:val="0003100E"/>
    <w:rsid w:val="00034A83"/>
    <w:rsid w:val="00066A27"/>
    <w:rsid w:val="00071B84"/>
    <w:rsid w:val="000833C1"/>
    <w:rsid w:val="000B5988"/>
    <w:rsid w:val="000C4D67"/>
    <w:rsid w:val="000E4ECE"/>
    <w:rsid w:val="000F7860"/>
    <w:rsid w:val="00107556"/>
    <w:rsid w:val="0014016F"/>
    <w:rsid w:val="00167049"/>
    <w:rsid w:val="00177430"/>
    <w:rsid w:val="00180D0E"/>
    <w:rsid w:val="00180F3E"/>
    <w:rsid w:val="00187104"/>
    <w:rsid w:val="0019732C"/>
    <w:rsid w:val="001A11EE"/>
    <w:rsid w:val="001A5B9B"/>
    <w:rsid w:val="001D2192"/>
    <w:rsid w:val="001D268E"/>
    <w:rsid w:val="001E121F"/>
    <w:rsid w:val="001E4D91"/>
    <w:rsid w:val="001E733E"/>
    <w:rsid w:val="001F1F7F"/>
    <w:rsid w:val="00203AF6"/>
    <w:rsid w:val="0021006F"/>
    <w:rsid w:val="00230DF4"/>
    <w:rsid w:val="00235A0A"/>
    <w:rsid w:val="002408C3"/>
    <w:rsid w:val="002565C8"/>
    <w:rsid w:val="00271AC8"/>
    <w:rsid w:val="00272744"/>
    <w:rsid w:val="00276139"/>
    <w:rsid w:val="0029491A"/>
    <w:rsid w:val="002D7837"/>
    <w:rsid w:val="002E0915"/>
    <w:rsid w:val="00322BB1"/>
    <w:rsid w:val="00334402"/>
    <w:rsid w:val="0036273C"/>
    <w:rsid w:val="00365BC6"/>
    <w:rsid w:val="00395D50"/>
    <w:rsid w:val="003A0555"/>
    <w:rsid w:val="003A10D8"/>
    <w:rsid w:val="003B2F96"/>
    <w:rsid w:val="003E6391"/>
    <w:rsid w:val="003E7B24"/>
    <w:rsid w:val="003E7FAB"/>
    <w:rsid w:val="003F30C5"/>
    <w:rsid w:val="00410170"/>
    <w:rsid w:val="00435044"/>
    <w:rsid w:val="00452519"/>
    <w:rsid w:val="00456122"/>
    <w:rsid w:val="0046152D"/>
    <w:rsid w:val="004661F0"/>
    <w:rsid w:val="00470EB0"/>
    <w:rsid w:val="0047255D"/>
    <w:rsid w:val="004809AB"/>
    <w:rsid w:val="00484D74"/>
    <w:rsid w:val="00487687"/>
    <w:rsid w:val="004928A5"/>
    <w:rsid w:val="004A7350"/>
    <w:rsid w:val="004C6ED9"/>
    <w:rsid w:val="004E00E7"/>
    <w:rsid w:val="004E14B0"/>
    <w:rsid w:val="004E410D"/>
    <w:rsid w:val="004E4FD3"/>
    <w:rsid w:val="004E6358"/>
    <w:rsid w:val="004F340F"/>
    <w:rsid w:val="004F740B"/>
    <w:rsid w:val="00507832"/>
    <w:rsid w:val="005166C8"/>
    <w:rsid w:val="00516DC8"/>
    <w:rsid w:val="005201E9"/>
    <w:rsid w:val="00527540"/>
    <w:rsid w:val="005402EF"/>
    <w:rsid w:val="005418BC"/>
    <w:rsid w:val="00542955"/>
    <w:rsid w:val="00562142"/>
    <w:rsid w:val="005864D4"/>
    <w:rsid w:val="005A55F0"/>
    <w:rsid w:val="005B6519"/>
    <w:rsid w:val="005E373A"/>
    <w:rsid w:val="00602261"/>
    <w:rsid w:val="00602F33"/>
    <w:rsid w:val="0061056F"/>
    <w:rsid w:val="00610E13"/>
    <w:rsid w:val="00614FD0"/>
    <w:rsid w:val="006349D7"/>
    <w:rsid w:val="00637F35"/>
    <w:rsid w:val="0064040C"/>
    <w:rsid w:val="0065122E"/>
    <w:rsid w:val="00656DB5"/>
    <w:rsid w:val="00662B91"/>
    <w:rsid w:val="00677794"/>
    <w:rsid w:val="00680B8E"/>
    <w:rsid w:val="006923A6"/>
    <w:rsid w:val="006B64ED"/>
    <w:rsid w:val="006D2996"/>
    <w:rsid w:val="006E0EBD"/>
    <w:rsid w:val="0070488E"/>
    <w:rsid w:val="00707474"/>
    <w:rsid w:val="00714DE0"/>
    <w:rsid w:val="00720231"/>
    <w:rsid w:val="00720AF3"/>
    <w:rsid w:val="00720C07"/>
    <w:rsid w:val="00723038"/>
    <w:rsid w:val="00732173"/>
    <w:rsid w:val="007375BD"/>
    <w:rsid w:val="00742704"/>
    <w:rsid w:val="00764AA1"/>
    <w:rsid w:val="0076780A"/>
    <w:rsid w:val="00770515"/>
    <w:rsid w:val="007B2B6E"/>
    <w:rsid w:val="007C5F8D"/>
    <w:rsid w:val="007E0959"/>
    <w:rsid w:val="007E5D10"/>
    <w:rsid w:val="008015ED"/>
    <w:rsid w:val="00825ED3"/>
    <w:rsid w:val="0084096F"/>
    <w:rsid w:val="00851EAE"/>
    <w:rsid w:val="008633DB"/>
    <w:rsid w:val="00881D7C"/>
    <w:rsid w:val="008A0422"/>
    <w:rsid w:val="008B2D1E"/>
    <w:rsid w:val="008D5BB2"/>
    <w:rsid w:val="008D616D"/>
    <w:rsid w:val="008D6434"/>
    <w:rsid w:val="008E1BFF"/>
    <w:rsid w:val="00917044"/>
    <w:rsid w:val="00976824"/>
    <w:rsid w:val="00985421"/>
    <w:rsid w:val="00991794"/>
    <w:rsid w:val="009D604B"/>
    <w:rsid w:val="009E7884"/>
    <w:rsid w:val="009F5333"/>
    <w:rsid w:val="00A06EE7"/>
    <w:rsid w:val="00A24374"/>
    <w:rsid w:val="00A34CFC"/>
    <w:rsid w:val="00A4311E"/>
    <w:rsid w:val="00A6047C"/>
    <w:rsid w:val="00AA57E5"/>
    <w:rsid w:val="00AD3D82"/>
    <w:rsid w:val="00AE1E4B"/>
    <w:rsid w:val="00AE2245"/>
    <w:rsid w:val="00AE543C"/>
    <w:rsid w:val="00AE57B3"/>
    <w:rsid w:val="00B070A9"/>
    <w:rsid w:val="00B407A3"/>
    <w:rsid w:val="00B413C4"/>
    <w:rsid w:val="00B41E15"/>
    <w:rsid w:val="00B4493F"/>
    <w:rsid w:val="00B74D0E"/>
    <w:rsid w:val="00B80152"/>
    <w:rsid w:val="00B86416"/>
    <w:rsid w:val="00BA6413"/>
    <w:rsid w:val="00C05B15"/>
    <w:rsid w:val="00C1550C"/>
    <w:rsid w:val="00C204FF"/>
    <w:rsid w:val="00C3215C"/>
    <w:rsid w:val="00C338BE"/>
    <w:rsid w:val="00C33E31"/>
    <w:rsid w:val="00C34F70"/>
    <w:rsid w:val="00C551AF"/>
    <w:rsid w:val="00C654D3"/>
    <w:rsid w:val="00C86A19"/>
    <w:rsid w:val="00C910B3"/>
    <w:rsid w:val="00C95E9E"/>
    <w:rsid w:val="00CB3B78"/>
    <w:rsid w:val="00CE3139"/>
    <w:rsid w:val="00D11540"/>
    <w:rsid w:val="00D11F84"/>
    <w:rsid w:val="00D17F8A"/>
    <w:rsid w:val="00D273F5"/>
    <w:rsid w:val="00D4229B"/>
    <w:rsid w:val="00D46A14"/>
    <w:rsid w:val="00D46D31"/>
    <w:rsid w:val="00D51DA9"/>
    <w:rsid w:val="00D54A82"/>
    <w:rsid w:val="00D60BD6"/>
    <w:rsid w:val="00D62982"/>
    <w:rsid w:val="00D666E7"/>
    <w:rsid w:val="00D67AE6"/>
    <w:rsid w:val="00DB47A3"/>
    <w:rsid w:val="00DD1907"/>
    <w:rsid w:val="00DF296B"/>
    <w:rsid w:val="00DF6B5A"/>
    <w:rsid w:val="00E16775"/>
    <w:rsid w:val="00E36396"/>
    <w:rsid w:val="00E44194"/>
    <w:rsid w:val="00E470CE"/>
    <w:rsid w:val="00E65B70"/>
    <w:rsid w:val="00E70F35"/>
    <w:rsid w:val="00E755E4"/>
    <w:rsid w:val="00E95A17"/>
    <w:rsid w:val="00EA29B9"/>
    <w:rsid w:val="00EC1370"/>
    <w:rsid w:val="00EC40F2"/>
    <w:rsid w:val="00EC446B"/>
    <w:rsid w:val="00EC6076"/>
    <w:rsid w:val="00EE1FF8"/>
    <w:rsid w:val="00F12F6B"/>
    <w:rsid w:val="00F14070"/>
    <w:rsid w:val="00F20455"/>
    <w:rsid w:val="00F57F7D"/>
    <w:rsid w:val="00F61B0D"/>
    <w:rsid w:val="00F706F8"/>
    <w:rsid w:val="00F761EC"/>
    <w:rsid w:val="00F809C7"/>
    <w:rsid w:val="00F9576D"/>
    <w:rsid w:val="00FB3778"/>
    <w:rsid w:val="00FC48E8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7D37"/>
  <w15:chartTrackingRefBased/>
  <w15:docId w15:val="{AEDE4D0D-6522-4F8A-AD49-F3BAC9E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923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23A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B2D1E"/>
    <w:rPr>
      <w:color w:val="954F72" w:themeColor="followedHyperlink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51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7715-48B1-4C10-AD4F-1282EC09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276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4</cp:revision>
  <cp:lastPrinted>2022-08-04T11:09:00Z</cp:lastPrinted>
  <dcterms:created xsi:type="dcterms:W3CDTF">2022-08-25T13:35:00Z</dcterms:created>
  <dcterms:modified xsi:type="dcterms:W3CDTF">2022-08-29T13:05:00Z</dcterms:modified>
</cp:coreProperties>
</file>